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9C564E" w:rsidRPr="009C564E" w:rsidTr="009C564E">
        <w:trPr>
          <w:tblCellSpacing w:w="15" w:type="dxa"/>
        </w:trPr>
        <w:tc>
          <w:tcPr>
            <w:tcW w:w="0" w:type="auto"/>
            <w:shd w:val="clear" w:color="auto" w:fill="A41E1C"/>
            <w:vAlign w:val="center"/>
            <w:hideMark/>
          </w:tcPr>
          <w:p w:rsidR="009C564E" w:rsidRPr="009C564E" w:rsidRDefault="009C564E" w:rsidP="009C564E">
            <w:pPr>
              <w:spacing w:after="0" w:line="384" w:lineRule="auto"/>
              <w:ind w:right="975"/>
              <w:jc w:val="center"/>
              <w:outlineLvl w:val="3"/>
              <w:rPr>
                <w:rFonts w:ascii="Arial" w:eastAsia="Times New Roman" w:hAnsi="Arial" w:cs="Arial"/>
                <w:b/>
                <w:bCs/>
                <w:color w:val="FFE8BF"/>
                <w:sz w:val="36"/>
                <w:szCs w:val="36"/>
                <w:lang w:eastAsia="sr-Latn-RS"/>
              </w:rPr>
            </w:pPr>
            <w:r w:rsidRPr="009C564E">
              <w:rPr>
                <w:rFonts w:ascii="Arial" w:eastAsia="Times New Roman" w:hAnsi="Arial" w:cs="Arial"/>
                <w:b/>
                <w:bCs/>
                <w:color w:val="FFE8BF"/>
                <w:sz w:val="36"/>
                <w:szCs w:val="36"/>
                <w:lang w:eastAsia="sr-Latn-RS"/>
              </w:rPr>
              <w:t>ODLUKA</w:t>
            </w:r>
          </w:p>
          <w:p w:rsidR="009C564E" w:rsidRPr="009C564E" w:rsidRDefault="009C564E" w:rsidP="009C564E">
            <w:pPr>
              <w:spacing w:after="0" w:line="240" w:lineRule="auto"/>
              <w:ind w:right="975"/>
              <w:jc w:val="center"/>
              <w:outlineLvl w:val="3"/>
              <w:rPr>
                <w:rFonts w:ascii="Arial" w:eastAsia="Times New Roman" w:hAnsi="Arial" w:cs="Arial"/>
                <w:b/>
                <w:bCs/>
                <w:color w:val="FFFFFF"/>
                <w:sz w:val="34"/>
                <w:szCs w:val="34"/>
                <w:lang w:eastAsia="sr-Latn-RS"/>
              </w:rPr>
            </w:pPr>
            <w:r w:rsidRPr="009C564E">
              <w:rPr>
                <w:rFonts w:ascii="Arial" w:eastAsia="Times New Roman" w:hAnsi="Arial" w:cs="Arial"/>
                <w:b/>
                <w:bCs/>
                <w:color w:val="FFFFFF"/>
                <w:sz w:val="34"/>
                <w:szCs w:val="34"/>
                <w:lang w:eastAsia="sr-Latn-RS"/>
              </w:rPr>
              <w:t>O LOKALNIM KOMUNALNIM TAKSAMA</w:t>
            </w:r>
          </w:p>
          <w:p w:rsidR="009C564E" w:rsidRPr="009C564E" w:rsidRDefault="009C564E" w:rsidP="009C564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9C564E">
              <w:rPr>
                <w:rFonts w:ascii="Arial" w:eastAsia="Times New Roman" w:hAnsi="Arial" w:cs="Arial"/>
                <w:i/>
                <w:iCs/>
                <w:color w:val="FFE8BF"/>
                <w:sz w:val="26"/>
                <w:szCs w:val="26"/>
                <w:lang w:eastAsia="sr-Latn-RS"/>
              </w:rPr>
              <w:t>("Sl. list Grada Zrenjanina", br. 34/2012, 37/2013, 31/2014, 33/2015, 34/2016 i 5/2017)</w:t>
            </w:r>
          </w:p>
        </w:tc>
      </w:tr>
    </w:tbl>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0" w:name="clan_1"/>
      <w:bookmarkEnd w:id="0"/>
      <w:r w:rsidRPr="009C564E">
        <w:rPr>
          <w:rFonts w:ascii="Arial" w:eastAsia="Times New Roman" w:hAnsi="Arial" w:cs="Arial"/>
          <w:b/>
          <w:bCs/>
          <w:sz w:val="24"/>
          <w:szCs w:val="24"/>
          <w:lang w:eastAsia="sr-Latn-RS"/>
        </w:rPr>
        <w:t xml:space="preserve">Član 1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Za korišćenje prava, predmeta i usluga na području grada Zrenjanina plaća se lokalna komunalna taksa i to za: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 Isticanje firme na poslovnom prostoru;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2. Korišćenje reklamnih panoa, uključujući i isticanje i ispisivanje firme van poslovnog prostora na objektima i prostorima koji pripadaju gradu Zrenjaninu (kolovozi, trotoari, zelene površine, bandere i sl.);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3. Držanje motornih drumskih i priključnih vozila osim poljoprivrednih vozila i mašina;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4. Korišćenje prostora na javnim površinama ili ispred poslovnih prostorija u poslovne svrhe, osim radi prodaje štampe, knjiga i drugih publikacija, proizvoda starih i umetničkih zanata i domaće radinosti;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5. Držanje sredstava za igru ("zabavne igre");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6. Korišćenje prostora za parkiranje drumskih motornih i priključnih vozila na uređenim i obeleženim mestima;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7. Korišćenje slobodnih površina za kampove, postavljanje šatora ili druge objekte privremenog korišćenja i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8. Zauzeće javne površine građevinskim materijalom i za izvođenje građevinskih radova.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Obveznik lokalne komunalne takse je korisnik prava, predmeta i usluga a taksena obaveza nastaje danom početka korišćenja prava, predmeta ili usluga i traje dok traje korišćenje prava, predmeta ili usluge.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1" w:name="clan_2"/>
      <w:bookmarkEnd w:id="1"/>
      <w:r w:rsidRPr="009C564E">
        <w:rPr>
          <w:rFonts w:ascii="Arial" w:eastAsia="Times New Roman" w:hAnsi="Arial" w:cs="Arial"/>
          <w:b/>
          <w:bCs/>
          <w:sz w:val="24"/>
          <w:szCs w:val="24"/>
          <w:lang w:eastAsia="sr-Latn-RS"/>
        </w:rPr>
        <w:t xml:space="preserve">Član 2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Lokalne komunalne takse propisane ovom Odlukom ne plaćaju se za korišćenje prava, predmeta ili usluga od strane državnih organa i organizacija i organa i organizacija teritorijalne autonomije i jedinica lokalne samouprave.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2" w:name="clan_3"/>
      <w:bookmarkEnd w:id="2"/>
      <w:r w:rsidRPr="009C564E">
        <w:rPr>
          <w:rFonts w:ascii="Arial" w:eastAsia="Times New Roman" w:hAnsi="Arial" w:cs="Arial"/>
          <w:b/>
          <w:bCs/>
          <w:sz w:val="24"/>
          <w:szCs w:val="24"/>
          <w:lang w:eastAsia="sr-Latn-RS"/>
        </w:rPr>
        <w:t xml:space="preserve">Član 3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Visina takse utvrđuje se Tarifom lokalne komunalne takse, koja je sastavni deo ove Odluke (u daljem tekstu: Taksena tarifa).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Taksenom tarifom utvrđuju se obveznici, visina, olakšice, način utvrđivanja i plaćanja lokalne komunalne takse, rokovi, broj računa na koji se taksa uplaćuje.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3" w:name="clan_4"/>
      <w:bookmarkEnd w:id="3"/>
      <w:r w:rsidRPr="009C564E">
        <w:rPr>
          <w:rFonts w:ascii="Arial" w:eastAsia="Times New Roman" w:hAnsi="Arial" w:cs="Arial"/>
          <w:b/>
          <w:bCs/>
          <w:sz w:val="24"/>
          <w:szCs w:val="24"/>
          <w:lang w:eastAsia="sr-Latn-RS"/>
        </w:rPr>
        <w:lastRenderedPageBreak/>
        <w:t xml:space="preserve">Član 4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Komunalne takse iz tačke 1., 2., 4, 5., 7. i 8. stava 1. člana 1. ove Odluke plaćaju se prema sledećim zonama: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1. BID - Zona unapređenog poslovanja: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Koju čini ulica Kralja Aleksandra I Karađorđevića (obe strane) u naseljenom mestu Zrenjanin.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2. Ekstra zona: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Koju čine ulice u naseljenom mestu Zrenjanin: Trg Slobode, Trg Zorana Đinđića, Pupinova, Gimnazijska, Kralja Petra I, Skerlićeva, Svetosavska, Nemanjina i Subotićeva.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3. I zonu čine: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Ulice u naseljenom mestu Zrenjanin: Saveznička, Slobodana Bursaća, Narodnog fronta, Jevrejska, Sarajlijina, Svetozara Markovića, Miroslava Tirše, ceo Bulevar Milutina Milankovića, Nikole Pašića, Beogradska, Žarka Zrenjanina, Cara Dušana, Miletićeva, Karađorđev trg, Pančevačka, Bulevar Veljka Vlahovića, Koče Kolarov, Žitni Trg i Vojvode Petra Bojovića.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4. II zonu čine: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Područja mesnih zajednica u naseljenom mestu Zrenjanin: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"Centar", "Mala Amerika", "Dositej Obradović", "Gradnulica", "Nikola Tesla", "Žarko Zrenjanin", "Veljko Vlahović", "Sonja Marinković", bez ulica koje pripadaju BID zoni, Ekstra zoni i I zoni.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b/>
          <w:bCs/>
          <w:lang w:eastAsia="sr-Latn-RS"/>
        </w:rPr>
        <w:t>5. III zonu čine:</w:t>
      </w:r>
      <w:r w:rsidRPr="009C564E">
        <w:rPr>
          <w:rFonts w:ascii="Arial" w:eastAsia="Times New Roman" w:hAnsi="Arial" w:cs="Arial"/>
          <w:lang w:eastAsia="sr-Latn-RS"/>
        </w:rPr>
        <w:t xml:space="preserve"> sve ostale ulice u naseljenom mestu Zrenjanin koje nisu obuhvaćene napred navedenim zonama.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b/>
          <w:bCs/>
          <w:lang w:eastAsia="sr-Latn-RS"/>
        </w:rPr>
        <w:t>6. IV zonu čine:</w:t>
      </w:r>
      <w:r w:rsidRPr="009C564E">
        <w:rPr>
          <w:rFonts w:ascii="Arial" w:eastAsia="Times New Roman" w:hAnsi="Arial" w:cs="Arial"/>
          <w:lang w:eastAsia="sr-Latn-RS"/>
        </w:rPr>
        <w:t xml:space="preserve"> sva ostala naseljena mesta na teritoriji grada Zrenjanina.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4" w:name="clan_5"/>
      <w:bookmarkEnd w:id="4"/>
      <w:r w:rsidRPr="009C564E">
        <w:rPr>
          <w:rFonts w:ascii="Arial" w:eastAsia="Times New Roman" w:hAnsi="Arial" w:cs="Arial"/>
          <w:b/>
          <w:bCs/>
          <w:sz w:val="24"/>
          <w:szCs w:val="24"/>
          <w:lang w:eastAsia="sr-Latn-RS"/>
        </w:rPr>
        <w:t xml:space="preserve">Član 5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Obveznici komunalne takse koja se naplaćuje u godišnjem iznosu a koji nisu zaduženi za prethodnu godinu, dužni su da podnesu prijavu za utvrđivanje obaveze po osnovu komunalne takse Odeljenju za finansije Gradske uprave grada Zrenjanina do 15. marta u godini za koju se vrši utvrđivanje takse odnosno u roku od 15 dana od dana početka korišćenja prava, predmeta i usluga za koja je uvedena komunalna taksa.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Preduzetnici i pravna lica koja su prema Zakonu kojima se uređuje računovodstvo razvrstana u mala pravna lica, a koji po završnom računu iz predhodne godine imaju godišnji prihod preko 50.000.000,00 dinara, dužni su da podnesu prijavu za utvrđivanje obaveze po osnovu komunalne takse Odeljenju za finansije Gradske uprave grada Zrenjanina do 1. juna u godini za koju se vrši utvrđivanje takse.</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Obveznik komunalne takse je dužan da svaku nastalu promenu prijavi Odeljenju iz stava 1. ovog člana u roku od 15 dana od dana nastale promene.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5" w:name="clan_6"/>
      <w:bookmarkEnd w:id="5"/>
      <w:r w:rsidRPr="009C564E">
        <w:rPr>
          <w:rFonts w:ascii="Arial" w:eastAsia="Times New Roman" w:hAnsi="Arial" w:cs="Arial"/>
          <w:b/>
          <w:bCs/>
          <w:sz w:val="24"/>
          <w:szCs w:val="24"/>
          <w:lang w:eastAsia="sr-Latn-RS"/>
        </w:rPr>
        <w:t xml:space="preserve">Član 6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U pogledu načina utvrđivanja komunalne takse, obračunavanja, zastarelosti, kamate, za docnju u plaćanju, rokova za plaćanje, naplate, prinudne naplate, poresko prekršajnog postupka i ostalog što nije regulisano ovom Odlukom, primenjuju se odredbe zakona kojim se uređuje poreski postupak.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6" w:name="clan_6a"/>
      <w:bookmarkEnd w:id="6"/>
      <w:r w:rsidRPr="009C564E">
        <w:rPr>
          <w:rFonts w:ascii="Arial" w:eastAsia="Times New Roman" w:hAnsi="Arial" w:cs="Arial"/>
          <w:b/>
          <w:bCs/>
          <w:sz w:val="24"/>
          <w:szCs w:val="24"/>
          <w:lang w:eastAsia="sr-Latn-RS"/>
        </w:rPr>
        <w:t>Član 6a</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Ako obveznik komunalne takse ne podnese prijavu u smislu člana 5. ove Odluke, ne izvrši plaćanje parkinga ili druge komunalne takse propisane ovom Odlukom za korišćenje prava i predmeta i usluga na području grada Zrenjanina, kazniće se za prekršaj i to: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pravno lice novčanom kaznom u iznosu od 50.000,00 do 1.000.000,00 dinara,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odgovorno lice u pravnom licu novčanom kaznom u iznosu od 5.000,00 do 75.000,00 dinara,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preduzetnik novčanom kaznom u iznosu od 10.000,00 do 250.000,00 dinara i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fizičko lice novčanom kaznom u iznosu od 5.000,00 do 20.000,00 dinara.</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7" w:name="clan_7"/>
      <w:bookmarkEnd w:id="7"/>
      <w:r w:rsidRPr="009C564E">
        <w:rPr>
          <w:rFonts w:ascii="Arial" w:eastAsia="Times New Roman" w:hAnsi="Arial" w:cs="Arial"/>
          <w:b/>
          <w:bCs/>
          <w:sz w:val="24"/>
          <w:szCs w:val="24"/>
          <w:lang w:eastAsia="sr-Latn-RS"/>
        </w:rPr>
        <w:t xml:space="preserve">Član 7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Za sprovođenje ove Odluke nadležno je Odeljenje za finansije Gradske uprave Zrenjanin.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8" w:name="clan_8"/>
      <w:bookmarkEnd w:id="8"/>
      <w:r w:rsidRPr="009C564E">
        <w:rPr>
          <w:rFonts w:ascii="Arial" w:eastAsia="Times New Roman" w:hAnsi="Arial" w:cs="Arial"/>
          <w:b/>
          <w:bCs/>
          <w:sz w:val="24"/>
          <w:szCs w:val="24"/>
          <w:lang w:eastAsia="sr-Latn-RS"/>
        </w:rPr>
        <w:t xml:space="preserve">Član 8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Stupanjem na snagu ove Odluke prestaje da važi Odluka o lokalnim komunalnim taksama ("Službeni list grada Zrenjanina", br. 1/10, 9/11 i 3/12).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bookmarkStart w:id="9" w:name="clan_9"/>
      <w:bookmarkEnd w:id="9"/>
      <w:r w:rsidRPr="009C564E">
        <w:rPr>
          <w:rFonts w:ascii="Arial" w:eastAsia="Times New Roman" w:hAnsi="Arial" w:cs="Arial"/>
          <w:b/>
          <w:bCs/>
          <w:sz w:val="24"/>
          <w:szCs w:val="24"/>
          <w:lang w:eastAsia="sr-Latn-RS"/>
        </w:rPr>
        <w:t xml:space="preserve">Član 9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Ova Odluka stupa na snagu 8. (osmog) dana od dana objavljivanja u "Službenom listu grada Zrenjanina", a primenjivaće se počev od 01.01.2013. godine. </w:t>
      </w:r>
    </w:p>
    <w:p w:rsidR="009C564E" w:rsidRPr="009C564E" w:rsidRDefault="009C564E" w:rsidP="009C564E">
      <w:pPr>
        <w:spacing w:after="0" w:line="240" w:lineRule="auto"/>
        <w:rPr>
          <w:rFonts w:ascii="Arial" w:eastAsia="Times New Roman" w:hAnsi="Arial" w:cs="Arial"/>
          <w:sz w:val="26"/>
          <w:szCs w:val="26"/>
          <w:lang w:eastAsia="sr-Latn-RS"/>
        </w:rPr>
      </w:pPr>
      <w:r w:rsidRPr="009C564E">
        <w:rPr>
          <w:rFonts w:ascii="Arial" w:eastAsia="Times New Roman" w:hAnsi="Arial" w:cs="Arial"/>
          <w:sz w:val="26"/>
          <w:szCs w:val="26"/>
          <w:lang w:eastAsia="sr-Latn-RS"/>
        </w:rPr>
        <w:t> </w:t>
      </w:r>
    </w:p>
    <w:p w:rsidR="009C564E" w:rsidRPr="009C564E" w:rsidRDefault="009C564E" w:rsidP="009C564E">
      <w:pPr>
        <w:spacing w:before="100" w:beforeAutospacing="1" w:after="100" w:afterAutospacing="1" w:line="240" w:lineRule="auto"/>
        <w:jc w:val="center"/>
        <w:rPr>
          <w:rFonts w:ascii="Arial" w:eastAsia="Times New Roman" w:hAnsi="Arial" w:cs="Arial"/>
          <w:b/>
          <w:bCs/>
          <w:i/>
          <w:iCs/>
          <w:sz w:val="24"/>
          <w:szCs w:val="24"/>
          <w:lang w:eastAsia="sr-Latn-RS"/>
        </w:rPr>
      </w:pPr>
      <w:r w:rsidRPr="009C564E">
        <w:rPr>
          <w:rFonts w:ascii="Arial" w:eastAsia="Times New Roman" w:hAnsi="Arial" w:cs="Arial"/>
          <w:b/>
          <w:bCs/>
          <w:i/>
          <w:iCs/>
          <w:sz w:val="24"/>
          <w:szCs w:val="24"/>
          <w:lang w:eastAsia="sr-Latn-RS"/>
        </w:rPr>
        <w:t>Samostalni član Odluke o izmenama i dopunama</w:t>
      </w:r>
      <w:r w:rsidRPr="009C564E">
        <w:rPr>
          <w:rFonts w:ascii="Arial" w:eastAsia="Times New Roman" w:hAnsi="Arial" w:cs="Arial"/>
          <w:b/>
          <w:bCs/>
          <w:i/>
          <w:iCs/>
          <w:sz w:val="24"/>
          <w:szCs w:val="24"/>
          <w:lang w:eastAsia="sr-Latn-RS"/>
        </w:rPr>
        <w:br/>
        <w:t>Odluke o lokalnim komunalnim taksama</w:t>
      </w:r>
    </w:p>
    <w:p w:rsidR="009C564E" w:rsidRPr="009C564E" w:rsidRDefault="009C564E" w:rsidP="009C564E">
      <w:pPr>
        <w:spacing w:before="100" w:beforeAutospacing="1" w:after="100" w:afterAutospacing="1" w:line="240" w:lineRule="auto"/>
        <w:jc w:val="center"/>
        <w:rPr>
          <w:rFonts w:ascii="Arial" w:eastAsia="Times New Roman" w:hAnsi="Arial" w:cs="Arial"/>
          <w:i/>
          <w:iCs/>
          <w:lang w:eastAsia="sr-Latn-RS"/>
        </w:rPr>
      </w:pPr>
      <w:r w:rsidRPr="009C564E">
        <w:rPr>
          <w:rFonts w:ascii="Arial" w:eastAsia="Times New Roman" w:hAnsi="Arial" w:cs="Arial"/>
          <w:i/>
          <w:iCs/>
          <w:lang w:eastAsia="sr-Latn-RS"/>
        </w:rPr>
        <w:t xml:space="preserve">("Sl. list Grada Zrenjanina", br. 37/2013) </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r w:rsidRPr="009C564E">
        <w:rPr>
          <w:rFonts w:ascii="Arial" w:eastAsia="Times New Roman" w:hAnsi="Arial" w:cs="Arial"/>
          <w:b/>
          <w:bCs/>
          <w:sz w:val="24"/>
          <w:szCs w:val="24"/>
          <w:lang w:eastAsia="sr-Latn-RS"/>
        </w:rPr>
        <w:t>Član 5</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Ova odluka stupa na snagu danom objavljivanja u "Službenom listu grada Zrenjanina", a primenjivaće se počev od 1. januara 2014. godine.</w:t>
      </w:r>
    </w:p>
    <w:p w:rsidR="009C564E" w:rsidRPr="009C564E" w:rsidRDefault="009C564E" w:rsidP="009C564E">
      <w:pPr>
        <w:spacing w:after="0" w:line="240" w:lineRule="auto"/>
        <w:rPr>
          <w:rFonts w:ascii="Arial" w:eastAsia="Times New Roman" w:hAnsi="Arial" w:cs="Arial"/>
          <w:sz w:val="26"/>
          <w:szCs w:val="26"/>
          <w:lang w:eastAsia="sr-Latn-RS"/>
        </w:rPr>
      </w:pPr>
      <w:r w:rsidRPr="009C564E">
        <w:rPr>
          <w:rFonts w:ascii="Arial" w:eastAsia="Times New Roman" w:hAnsi="Arial" w:cs="Arial"/>
          <w:sz w:val="26"/>
          <w:szCs w:val="26"/>
          <w:lang w:eastAsia="sr-Latn-RS"/>
        </w:rPr>
        <w:t> </w:t>
      </w:r>
    </w:p>
    <w:p w:rsidR="009C564E" w:rsidRPr="009C564E" w:rsidRDefault="009C564E" w:rsidP="009C564E">
      <w:pPr>
        <w:spacing w:before="100" w:beforeAutospacing="1" w:after="100" w:afterAutospacing="1" w:line="240" w:lineRule="auto"/>
        <w:jc w:val="center"/>
        <w:rPr>
          <w:rFonts w:ascii="Arial" w:eastAsia="Times New Roman" w:hAnsi="Arial" w:cs="Arial"/>
          <w:b/>
          <w:bCs/>
          <w:i/>
          <w:iCs/>
          <w:sz w:val="24"/>
          <w:szCs w:val="24"/>
          <w:lang w:eastAsia="sr-Latn-RS"/>
        </w:rPr>
      </w:pPr>
      <w:r w:rsidRPr="009C564E">
        <w:rPr>
          <w:rFonts w:ascii="Arial" w:eastAsia="Times New Roman" w:hAnsi="Arial" w:cs="Arial"/>
          <w:b/>
          <w:bCs/>
          <w:i/>
          <w:iCs/>
          <w:sz w:val="24"/>
          <w:szCs w:val="24"/>
          <w:lang w:eastAsia="sr-Latn-RS"/>
        </w:rPr>
        <w:t>Samostalni član Odluke o izmenama i dopunama</w:t>
      </w:r>
      <w:r w:rsidRPr="009C564E">
        <w:rPr>
          <w:rFonts w:ascii="Arial" w:eastAsia="Times New Roman" w:hAnsi="Arial" w:cs="Arial"/>
          <w:b/>
          <w:bCs/>
          <w:i/>
          <w:iCs/>
          <w:sz w:val="24"/>
          <w:szCs w:val="24"/>
          <w:lang w:eastAsia="sr-Latn-RS"/>
        </w:rPr>
        <w:br/>
        <w:t>Odluke o lokalnim komunalnim taksama</w:t>
      </w:r>
    </w:p>
    <w:p w:rsidR="009C564E" w:rsidRPr="009C564E" w:rsidRDefault="009C564E" w:rsidP="009C564E">
      <w:pPr>
        <w:spacing w:before="100" w:beforeAutospacing="1" w:after="100" w:afterAutospacing="1" w:line="240" w:lineRule="auto"/>
        <w:jc w:val="center"/>
        <w:rPr>
          <w:rFonts w:ascii="Arial" w:eastAsia="Times New Roman" w:hAnsi="Arial" w:cs="Arial"/>
          <w:i/>
          <w:iCs/>
          <w:lang w:eastAsia="sr-Latn-RS"/>
        </w:rPr>
      </w:pPr>
      <w:r w:rsidRPr="009C564E">
        <w:rPr>
          <w:rFonts w:ascii="Arial" w:eastAsia="Times New Roman" w:hAnsi="Arial" w:cs="Arial"/>
          <w:i/>
          <w:iCs/>
          <w:lang w:eastAsia="sr-Latn-RS"/>
        </w:rPr>
        <w:t>("Sl. list Grada Zrenjanina", br. 31/2014)</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r w:rsidRPr="009C564E">
        <w:rPr>
          <w:rFonts w:ascii="Arial" w:eastAsia="Times New Roman" w:hAnsi="Arial" w:cs="Arial"/>
          <w:b/>
          <w:bCs/>
          <w:sz w:val="24"/>
          <w:szCs w:val="24"/>
          <w:lang w:eastAsia="sr-Latn-RS"/>
        </w:rPr>
        <w:lastRenderedPageBreak/>
        <w:t xml:space="preserve">Član 4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Ova Odluka stupa na snagu 8 (osmog) dana od dana objavljivanja u "Službenom listu grada Zrenjanina", a primenjivaće se počev od 1. januara 2015. godine.</w:t>
      </w:r>
    </w:p>
    <w:p w:rsidR="009C564E" w:rsidRPr="009C564E" w:rsidRDefault="009C564E" w:rsidP="009C564E">
      <w:pPr>
        <w:spacing w:after="0" w:line="240" w:lineRule="auto"/>
        <w:rPr>
          <w:rFonts w:ascii="Arial" w:eastAsia="Times New Roman" w:hAnsi="Arial" w:cs="Arial"/>
          <w:sz w:val="26"/>
          <w:szCs w:val="26"/>
          <w:lang w:eastAsia="sr-Latn-RS"/>
        </w:rPr>
      </w:pPr>
      <w:r w:rsidRPr="009C564E">
        <w:rPr>
          <w:rFonts w:ascii="Arial" w:eastAsia="Times New Roman" w:hAnsi="Arial" w:cs="Arial"/>
          <w:sz w:val="26"/>
          <w:szCs w:val="26"/>
          <w:lang w:eastAsia="sr-Latn-RS"/>
        </w:rPr>
        <w:t> </w:t>
      </w:r>
    </w:p>
    <w:p w:rsidR="009C564E" w:rsidRPr="009C564E" w:rsidRDefault="009C564E" w:rsidP="009C564E">
      <w:pPr>
        <w:spacing w:before="100" w:beforeAutospacing="1" w:after="100" w:afterAutospacing="1" w:line="240" w:lineRule="auto"/>
        <w:jc w:val="center"/>
        <w:rPr>
          <w:rFonts w:ascii="Arial" w:eastAsia="Times New Roman" w:hAnsi="Arial" w:cs="Arial"/>
          <w:b/>
          <w:bCs/>
          <w:i/>
          <w:iCs/>
          <w:sz w:val="24"/>
          <w:szCs w:val="24"/>
          <w:lang w:eastAsia="sr-Latn-RS"/>
        </w:rPr>
      </w:pPr>
      <w:r w:rsidRPr="009C564E">
        <w:rPr>
          <w:rFonts w:ascii="Arial" w:eastAsia="Times New Roman" w:hAnsi="Arial" w:cs="Arial"/>
          <w:b/>
          <w:bCs/>
          <w:i/>
          <w:iCs/>
          <w:sz w:val="24"/>
          <w:szCs w:val="24"/>
          <w:lang w:eastAsia="sr-Latn-RS"/>
        </w:rPr>
        <w:t xml:space="preserve">Samostalni član Odluke o izmenama </w:t>
      </w:r>
      <w:r w:rsidRPr="009C564E">
        <w:rPr>
          <w:rFonts w:ascii="Arial" w:eastAsia="Times New Roman" w:hAnsi="Arial" w:cs="Arial"/>
          <w:b/>
          <w:bCs/>
          <w:i/>
          <w:iCs/>
          <w:sz w:val="24"/>
          <w:szCs w:val="24"/>
          <w:lang w:eastAsia="sr-Latn-RS"/>
        </w:rPr>
        <w:br/>
        <w:t>Odluke o lokalnim komunalnim taksama</w:t>
      </w:r>
    </w:p>
    <w:p w:rsidR="009C564E" w:rsidRPr="009C564E" w:rsidRDefault="009C564E" w:rsidP="009C564E">
      <w:pPr>
        <w:spacing w:before="100" w:beforeAutospacing="1" w:after="100" w:afterAutospacing="1" w:line="240" w:lineRule="auto"/>
        <w:jc w:val="center"/>
        <w:rPr>
          <w:rFonts w:ascii="Arial" w:eastAsia="Times New Roman" w:hAnsi="Arial" w:cs="Arial"/>
          <w:i/>
          <w:iCs/>
          <w:lang w:eastAsia="sr-Latn-RS"/>
        </w:rPr>
      </w:pPr>
      <w:r w:rsidRPr="009C564E">
        <w:rPr>
          <w:rFonts w:ascii="Arial" w:eastAsia="Times New Roman" w:hAnsi="Arial" w:cs="Arial"/>
          <w:i/>
          <w:iCs/>
          <w:lang w:eastAsia="sr-Latn-RS"/>
        </w:rPr>
        <w:t>("Sl. list Grada Zrenjanina", br. 33/2015)</w:t>
      </w:r>
    </w:p>
    <w:p w:rsidR="009C564E" w:rsidRPr="009C564E" w:rsidRDefault="009C564E" w:rsidP="009C564E">
      <w:pPr>
        <w:spacing w:before="240" w:after="120" w:line="240" w:lineRule="auto"/>
        <w:jc w:val="center"/>
        <w:rPr>
          <w:rFonts w:ascii="Arial" w:eastAsia="Times New Roman" w:hAnsi="Arial" w:cs="Arial"/>
          <w:b/>
          <w:bCs/>
          <w:sz w:val="24"/>
          <w:szCs w:val="24"/>
          <w:lang w:eastAsia="sr-Latn-RS"/>
        </w:rPr>
      </w:pPr>
      <w:r w:rsidRPr="009C564E">
        <w:rPr>
          <w:rFonts w:ascii="Arial" w:eastAsia="Times New Roman" w:hAnsi="Arial" w:cs="Arial"/>
          <w:b/>
          <w:bCs/>
          <w:sz w:val="24"/>
          <w:szCs w:val="24"/>
          <w:lang w:eastAsia="sr-Latn-RS"/>
        </w:rPr>
        <w:t xml:space="preserve">Član 3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Ova Odluka stupa na snagu 8 (osmog) dana od dana objavljivanja u "Službenom listu grada Zrenjanina". </w:t>
      </w:r>
    </w:p>
    <w:p w:rsidR="009C564E" w:rsidRPr="009C564E" w:rsidRDefault="009C564E" w:rsidP="009C564E">
      <w:pPr>
        <w:spacing w:after="0" w:line="240" w:lineRule="auto"/>
        <w:rPr>
          <w:rFonts w:ascii="Arial" w:eastAsia="Times New Roman" w:hAnsi="Arial" w:cs="Arial"/>
          <w:sz w:val="26"/>
          <w:szCs w:val="26"/>
          <w:lang w:eastAsia="sr-Latn-RS"/>
        </w:rPr>
      </w:pPr>
      <w:r w:rsidRPr="009C564E">
        <w:rPr>
          <w:rFonts w:ascii="Arial" w:eastAsia="Times New Roman" w:hAnsi="Arial" w:cs="Arial"/>
          <w:sz w:val="26"/>
          <w:szCs w:val="26"/>
          <w:lang w:eastAsia="sr-Latn-RS"/>
        </w:rPr>
        <w:t> </w:t>
      </w:r>
    </w:p>
    <w:p w:rsidR="009C564E" w:rsidRPr="009C564E" w:rsidRDefault="009C564E" w:rsidP="009C564E">
      <w:pPr>
        <w:spacing w:after="0" w:line="240" w:lineRule="auto"/>
        <w:jc w:val="center"/>
        <w:rPr>
          <w:rFonts w:ascii="Arial" w:eastAsia="Times New Roman" w:hAnsi="Arial" w:cs="Arial"/>
          <w:b/>
          <w:bCs/>
          <w:sz w:val="31"/>
          <w:szCs w:val="31"/>
          <w:lang w:eastAsia="sr-Latn-RS"/>
        </w:rPr>
      </w:pPr>
      <w:bookmarkStart w:id="10" w:name="str_1"/>
      <w:bookmarkEnd w:id="10"/>
      <w:r w:rsidRPr="009C564E">
        <w:rPr>
          <w:rFonts w:ascii="Arial" w:eastAsia="Times New Roman" w:hAnsi="Arial" w:cs="Arial"/>
          <w:b/>
          <w:bCs/>
          <w:sz w:val="31"/>
          <w:szCs w:val="31"/>
          <w:lang w:eastAsia="sr-Latn-RS"/>
        </w:rPr>
        <w:t xml:space="preserve">TARIFA LOKALNE KOMUNALNE TAKSE </w:t>
      </w:r>
    </w:p>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1" w:name="str_2"/>
      <w:bookmarkEnd w:id="11"/>
      <w:r w:rsidRPr="009C564E">
        <w:rPr>
          <w:rFonts w:ascii="Arial" w:eastAsia="Times New Roman" w:hAnsi="Arial" w:cs="Arial"/>
          <w:b/>
          <w:bCs/>
          <w:sz w:val="24"/>
          <w:szCs w:val="24"/>
          <w:lang w:eastAsia="sr-Latn-RS"/>
        </w:rPr>
        <w:t xml:space="preserve">Tarifni broj 1.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Isticanje firme na poslovnom prostoru (firmarina):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1.1 Preduzetnici i pravna lica koja su prema Zakonu kojima se uređuje računovodstvo razvrstana u mala pravna lica, a imaju godišnji prihod preko 50.000.000 dinara (osim preduzetnika i pravnih lica koja obavljaju delatnosti: bankarstva; osiguranja imovine i lica; proizvodnje i trgovine naftom i derivatima nafte; proizvodnje i trgovine na veliko duvanskim proizvodima; poštanskih; mobilnih i telefonskih usluga; elektroprivrede; kazina, kockarnica, kladionica, bingo sala i pružanja kockarskih usluga i noćnih barova i diskoteka) taksu za firmarinu plaćaju godišnje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72"/>
        <w:gridCol w:w="3960"/>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43.000,00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7.000,00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3.000,00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1.2 Pravna lica koja su prema Zakonu kojima se uređuje računovodstvo razvrstana u srednja pravna lica (osim preduzetnika i pravnih lica koja obavljaju delatnosti: bankarstva; osiguranja imovine i lica; proizvodnje i trgovine naftom i derivatima nafte; proizvodnje i trgovine na veliko duvanskim proizvodima; poštanskih; mobilnih i telefonskih usluga; elektroprivrede; kazina, kockarnica, kladionica, bingo sala i pružanja kockarskih usluga i noćnih barova i diskoteka) taksu za firmarinu plaćaju godišnje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72"/>
        <w:gridCol w:w="3960"/>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63.000,00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52.000,00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42.000,00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31.000,00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21.000,00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6.000,00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1.3. Pravna lica koja su prema Zakonu kojima se uređuje računovodstvo razvrstana u velika pravna lica (osim preduzetnika i pravnih lica koja obavljaju delatnosti: bankarstva; osiguranja imovine i lica; proizvodnje i trgovine naftom i derivatima nafte; proizvodnje i trgovine na veliko duvanskim proizvodima; poštanskih; mobilnih i telefonskih usluga; elektroprivrede; kazina, kockarnica, kladionica, bingo sala i pružanja kockarskih usluga i noćnih barova i diskoteka) taksu za firmarinu plaćaju godišnje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19"/>
        <w:gridCol w:w="4213"/>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145.000,00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135.000,00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125.000,00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115.000,00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105.000,00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10.000,00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1.4. Pravna lica koja su prema Zakonu kojima se uređuje računovodstvo razvrstana u velika, srednja, mala pravna lica i preduzetnici, a obavljaju delatnost bankarstva, osiguranja imovine i lica, proizvodnje i trgovine naftom i derivatima nafte, proizvodnje i trgovine na veliko duvanskim proizvodima, poštanskih, mobilnih i telefonskih usluga, elektroprivrede, kazina, kockarnica, kladionica, bingo sala i pružanja kockarskih usluga plaćaju godišnje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19"/>
        <w:gridCol w:w="4213"/>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350.000,00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320.000,00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290.000,00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260.000,00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230.000,00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15.000,00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1.5. Pravna lica koja su prema Zakonu kojima se uređuje računovodstvo razvrstana u velika, srednja, mala pravna lica i preduzetnici, a obavljaju delatnost noćnih barova i diskoteka plaćaju godišnje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72"/>
        <w:gridCol w:w="3960"/>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43.000,00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32.000,00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3.000,00 </w:t>
            </w:r>
          </w:p>
        </w:tc>
      </w:tr>
    </w:tbl>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NAPOMENA: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 Preduzetnici i pravna lica koja su prema zakonu kojim se uređuje računovodstvo razvrstana u mala pravna lica (osim preduzetnika i pravnih lica koja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a imaju godišnji prihod do </w:t>
      </w:r>
      <w:r w:rsidRPr="009C564E">
        <w:rPr>
          <w:rFonts w:ascii="Arial" w:eastAsia="Times New Roman" w:hAnsi="Arial" w:cs="Arial"/>
          <w:lang w:eastAsia="sr-Latn-RS"/>
        </w:rPr>
        <w:lastRenderedPageBreak/>
        <w:t>50.000.000 dinara, ne plaćaju lokalnu komunalnu taksu za isticanje firme na poslovnom prostoru.</w:t>
      </w:r>
      <w:r w:rsidRPr="009C564E">
        <w:rPr>
          <w:rFonts w:ascii="Arial" w:eastAsia="Times New Roman" w:hAnsi="Arial" w:cs="Arial"/>
          <w:lang w:eastAsia="sr-Latn-RS"/>
        </w:rPr>
        <w:br/>
        <w:t>2. Taksena obaveza za taksu iz ovog tarifnog broja nastaje danom upisa u registar kod Agencije za registraciju privrednih subjekata, odnosno drugog nadležnog organa.</w:t>
      </w:r>
      <w:r w:rsidRPr="009C564E">
        <w:rPr>
          <w:rFonts w:ascii="Arial" w:eastAsia="Times New Roman" w:hAnsi="Arial" w:cs="Arial"/>
          <w:lang w:eastAsia="sr-Latn-RS"/>
        </w:rPr>
        <w:br/>
        <w:t>3. Obveznici taksu plaćaju mesečno u roku od 15 dana po isteku svakog meseca.</w:t>
      </w:r>
      <w:r w:rsidRPr="009C564E">
        <w:rPr>
          <w:rFonts w:ascii="Arial" w:eastAsia="Times New Roman" w:hAnsi="Arial" w:cs="Arial"/>
          <w:lang w:eastAsia="sr-Latn-RS"/>
        </w:rPr>
        <w:br/>
        <w:t>4. Pod istaknutom firmom podrazumeva se svako obeležje ili natpis koji označava da pravno lice i preduzetnik obavlja određenu delatnost, bez obzira na kom delu poslovnog objekta se to obeležje ili natpis nalazi.</w:t>
      </w:r>
      <w:r w:rsidRPr="009C564E">
        <w:rPr>
          <w:rFonts w:ascii="Arial" w:eastAsia="Times New Roman" w:hAnsi="Arial" w:cs="Arial"/>
          <w:lang w:eastAsia="sr-Latn-RS"/>
        </w:rPr>
        <w:br/>
        <w:t>5. Ako je na objektu istaknuto više firmi istog lica, taksa se plaća samo za jednu firmu.</w:t>
      </w:r>
      <w:r w:rsidRPr="009C564E">
        <w:rPr>
          <w:rFonts w:ascii="Arial" w:eastAsia="Times New Roman" w:hAnsi="Arial" w:cs="Arial"/>
          <w:lang w:eastAsia="sr-Latn-RS"/>
        </w:rPr>
        <w:br/>
        <w:t>6. Takseni obveznici koji na teritoriji Grada imaju veći broj poslovnih objekata, bez obzira gde se nalazi sedište firme, komunalnu taksu utvrđenu ovim Tarifnim brojem plaćaju za jedan poslovni objekat, koji se nalazi u poslovnoj zoni za koju je utvrđen veći iznos komunalne takse, a za svaki naredni poslovni objekat plaćaju komunalnu taksu umanjenu za 70% zavisno od zone u kojoj se nalazi, osim obveznika iz tačke 1.4 ovog Tarifnog broja koji za svaki naredni poslovni objekat plaćaju komunalnu taksu umanjenu za 60% zavisno od zone u kojoj se nalazi, a maksimalno zaduženje obveznika za svaku istaknutu firmu ne može biti veće od Zakonom propisanog.</w:t>
      </w:r>
      <w:r w:rsidRPr="009C564E">
        <w:rPr>
          <w:rFonts w:ascii="Arial" w:eastAsia="Times New Roman" w:hAnsi="Arial" w:cs="Arial"/>
          <w:lang w:eastAsia="sr-Latn-RS"/>
        </w:rPr>
        <w:br/>
        <w:t>7. Za isticanje firmi pravnih lica čije se poslovanje finansira u potpunosti ili delimično iz budžeta grada plaća se taksa u iznosu od 10% tarife u zavisnosti od zone u kojoj se nalazi.</w:t>
      </w:r>
      <w:r w:rsidRPr="009C564E">
        <w:rPr>
          <w:rFonts w:ascii="Arial" w:eastAsia="Times New Roman" w:hAnsi="Arial" w:cs="Arial"/>
          <w:lang w:eastAsia="sr-Latn-RS"/>
        </w:rPr>
        <w:br/>
        <w:t>8. Taksu obračunava i zadužuje rešenjem Odeljenje za finansije Gradske uprave Zrenjanina na osnovu podataka iz registra nadležnog organa u godišnjem iznosu srazmerno vremenu rada preduzeća odnosno radnje, taksa se uplaćuje na račun broj: 840-716111843-35. Rešenje se donosi u skladu sa Zakonom o poreskom postupku i poreskoj administraciji.</w:t>
      </w:r>
      <w:r w:rsidRPr="009C564E">
        <w:rPr>
          <w:rFonts w:ascii="Arial" w:eastAsia="Times New Roman" w:hAnsi="Arial" w:cs="Arial"/>
          <w:lang w:eastAsia="sr-Latn-RS"/>
        </w:rPr>
        <w:br/>
        <w:t>9. Grad, kao potsticajnu meru za razvoj privrednih aktivnosti, oslobađa plaćanje takse iz ovog tarifnog broja pravna lica i preduzetnike za godinu u koju su prvi put započeli privrednu aktivnost na teritoriji grada.</w:t>
      </w:r>
      <w:r w:rsidRPr="009C564E">
        <w:rPr>
          <w:rFonts w:ascii="Arial" w:eastAsia="Times New Roman" w:hAnsi="Arial" w:cs="Arial"/>
          <w:lang w:eastAsia="sr-Latn-RS"/>
        </w:rPr>
        <w:br/>
        <w:t>10. Pravna lica u postupku likvidacije zadužuju se taksom iz ovog tarifnog broja do dana registrovanja i objavljivanja Odluke o pokretanju postupka likvidacije u skladu sa Zakonom kojim se uređuje likvidacija.</w:t>
      </w:r>
      <w:r w:rsidRPr="009C564E">
        <w:rPr>
          <w:rFonts w:ascii="Arial" w:eastAsia="Times New Roman" w:hAnsi="Arial" w:cs="Arial"/>
          <w:lang w:eastAsia="sr-Latn-RS"/>
        </w:rPr>
        <w:br/>
        <w:t>11. Preduzetniku koji privremeno odjavi obavljanje delatnosti u skladu sa zakonom, za taj period, miruje obaveza plaćanja takse na firmu.</w:t>
      </w:r>
      <w:r w:rsidRPr="009C564E">
        <w:rPr>
          <w:rFonts w:ascii="Arial" w:eastAsia="Times New Roman" w:hAnsi="Arial" w:cs="Arial"/>
          <w:lang w:eastAsia="sr-Latn-RS"/>
        </w:rPr>
        <w:br/>
        <w:t xml:space="preserve">12. Prijava za utvrđivanje komunalne takse za isticanje firme na poslovnom prostoru podnosi se na obrascu "PKT" koji je sastavni deo ove Odluke. </w:t>
      </w:r>
      <w:r w:rsidRPr="009C564E">
        <w:rPr>
          <w:rFonts w:ascii="Arial" w:eastAsia="Times New Roman" w:hAnsi="Arial" w:cs="Arial"/>
          <w:lang w:eastAsia="sr-Latn-RS"/>
        </w:rPr>
        <w:br/>
        <w:t>13. Mala pravna lica i preduzetnici koji obavljaju delatnost proizvodnje i trgovine naftom i derivatima nafte, plaćaju komunalnu taksu umanjenu za 80% od propisane, zavisno od zone u kojoj se nalaze.</w:t>
      </w:r>
    </w:p>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2" w:name="str_3"/>
      <w:bookmarkEnd w:id="12"/>
      <w:r w:rsidRPr="009C564E">
        <w:rPr>
          <w:rFonts w:ascii="Arial" w:eastAsia="Times New Roman" w:hAnsi="Arial" w:cs="Arial"/>
          <w:b/>
          <w:bCs/>
          <w:sz w:val="24"/>
          <w:szCs w:val="24"/>
          <w:lang w:eastAsia="sr-Latn-RS"/>
        </w:rPr>
        <w:t xml:space="preserve">Tarifni broj 2.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Za korišćenje reklamnih panoa: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Za korišćenje reklamnih panoa, uključujući i isticanje i ispisivanje firme van poslovnog prostora na objektima i prostorima koji pripadaju gradu (kolovozi, trotoari, zelene površine, bandere i sl.) utvrđuje se taksa po zonama i to: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2.1. Za isticanje reklama, reklamnih panoa, objava i oglasa (jarboli, totem, totem 1, reklamne table, reklamni mediji, horizontalne reklame, baneri) plaća se taksa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56"/>
        <w:gridCol w:w="2400"/>
        <w:gridCol w:w="2876"/>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Godišnje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318,00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17.850,00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291,00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16.900,00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prva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265,00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15.300,00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druga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212,00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14.200,00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 treća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160,00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četvrta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106,00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10.600,00 </w:t>
            </w:r>
          </w:p>
        </w:tc>
      </w:tr>
    </w:tbl>
    <w:p w:rsidR="009C564E" w:rsidRPr="009C564E" w:rsidRDefault="009C564E" w:rsidP="009C564E">
      <w:pPr>
        <w:spacing w:after="0" w:line="240" w:lineRule="auto"/>
        <w:rPr>
          <w:rFonts w:ascii="Arial" w:eastAsia="Times New Roman" w:hAnsi="Arial" w:cs="Arial"/>
          <w:sz w:val="26"/>
          <w:szCs w:val="26"/>
          <w:lang w:eastAsia="sr-Latn-RS"/>
        </w:rPr>
      </w:pPr>
      <w:r w:rsidRPr="009C564E">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685"/>
        <w:gridCol w:w="1427"/>
      </w:tblGrid>
      <w:tr w:rsidR="009C564E" w:rsidRPr="009C564E" w:rsidTr="009C564E">
        <w:trPr>
          <w:tblCellSpacing w:w="0" w:type="dxa"/>
        </w:trPr>
        <w:tc>
          <w:tcPr>
            <w:tcW w:w="0" w:type="auto"/>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2.2. Za svaku objavu ili oglas mesečno </w:t>
            </w:r>
          </w:p>
        </w:tc>
        <w:tc>
          <w:tcPr>
            <w:tcW w:w="0" w:type="auto"/>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350,00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2.3. Za isticanje reklama, objava i oglasa u korist trećih lica, na sopstvenim reklamnim panoima (bilbordi) od strane pravnih lica i preduzetnika koji se bave reklamnom delatnošću plaća se taksa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99"/>
        <w:gridCol w:w="2500"/>
        <w:gridCol w:w="2833"/>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Godišnje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2.032,00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19.850,00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1.862,00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18.900,00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prva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1.693,00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17.300,00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druga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1.185,00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16.200,00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treća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1.122,00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14.000,00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četvrta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508,00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12.600,00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2.4. Za isticanje reklama, objava i oglasa u korist trećih lica a u sopstvenim osvetljenim "CITY" (</w:t>
      </w:r>
      <w:r w:rsidRPr="009C564E">
        <w:rPr>
          <w:rFonts w:ascii="Arial" w:eastAsia="Times New Roman" w:hAnsi="Arial" w:cs="Arial"/>
          <w:i/>
          <w:iCs/>
          <w:lang w:eastAsia="sr-Latn-RS"/>
        </w:rPr>
        <w:t>city light</w:t>
      </w:r>
      <w:r w:rsidRPr="009C564E">
        <w:rPr>
          <w:rFonts w:ascii="Arial" w:eastAsia="Times New Roman" w:hAnsi="Arial" w:cs="Arial"/>
          <w:lang w:eastAsia="sr-Latn-RS"/>
        </w:rPr>
        <w:t xml:space="preserve">) izlozima od strane pravnih lica i preduzetnika koji se bave reklamiranjem kao delatnošću plaća se taksa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56"/>
        <w:gridCol w:w="2400"/>
        <w:gridCol w:w="2876"/>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Godišnje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300.00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16.900,00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271,00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15.300,00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prva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240,00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14.200,00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druga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195,00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13.000,00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treća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130,00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10.600,00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četvrta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88,00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8.200,00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2.5. Za isticanje reklama, objava i oglasa u korist trećih lica na tzv. "SITYSCAPE" reklamnim panoima na obodnim zidovima rezervoara objekta "Vodotornja" i drugim slobodnim zidovima i fasadama javnih objekata od strane pravnih lica i preduzetnika koji se bave reklamiranjem kao delatnošću plaća se taksa i to: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260"/>
        <w:gridCol w:w="1852"/>
      </w:tblGrid>
      <w:tr w:rsidR="009C564E" w:rsidRPr="009C564E" w:rsidTr="009C564E">
        <w:trPr>
          <w:tblCellSpacing w:w="0" w:type="dxa"/>
        </w:trPr>
        <w:tc>
          <w:tcPr>
            <w:tcW w:w="0" w:type="auto"/>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po jednoj strani obodnog zida ili fasade </w:t>
            </w:r>
          </w:p>
        </w:tc>
        <w:tc>
          <w:tcPr>
            <w:tcW w:w="0" w:type="auto"/>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19.000,00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2.6. Za isticanje reklama, objava i oglasa u korist trećih lica na tzv. "CITYLUX" reklamnim panoima na stubovima javne rasvete od strane pravnih lica i preduzetnika koji se bave reklamiranjem kao delatnošću plaća se taksa po jednom stubu,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00"/>
        <w:gridCol w:w="2427"/>
        <w:gridCol w:w="2805"/>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Dnevno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Godišnje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89,00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6.983,00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82,00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6.400,00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prva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74,00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5.820,00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druga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58,00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4.232,00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treća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43,00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2.645,00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četvrta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27,00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2.116,00 </w:t>
            </w:r>
          </w:p>
        </w:tc>
      </w:tr>
    </w:tbl>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2.7. Za isticanje reklama, objava i oglasa u korist trećih lica na zidovima, zabatima i njima podobnim delovima fasade objekata od strane pravnih lica i preduzetnika koji se bave reklamiranjem kao delatnošću plaća se taksa po jednoj reklami, reklamno slogu ili reklamnom znaku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31"/>
        <w:gridCol w:w="3901"/>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Godišnje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16.505,00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15.130,00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prva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13.755,00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druga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11.640,00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treća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7.405,00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četvrta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3.705,00 </w:t>
            </w:r>
          </w:p>
        </w:tc>
      </w:tr>
    </w:tbl>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NAPOMENA: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1. Preduzetnici i pravna lica koja su prema zakonu kojim se uređuje računovodstvo razvrstana u mala pravna lica (osim preduzetnika i pravnih lica koja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a imaju godišnji prihod do 50.000.000 dinara, ne plaćaju lokalnu komunalnu taksu za korišćenje reklamnih panoa, uključujući i isticanje i ispisivanje firme van poslovnog prostora na objektima i prostorima koji pripadaju gradu (kolovozi, trotoari, zelene površine, bandere i sl.).</w:t>
      </w:r>
      <w:r w:rsidRPr="009C564E">
        <w:rPr>
          <w:rFonts w:ascii="Arial" w:eastAsia="Times New Roman" w:hAnsi="Arial" w:cs="Arial"/>
          <w:lang w:eastAsia="sr-Latn-RS"/>
        </w:rPr>
        <w:br/>
        <w:t>2. Obveznik takse iz ovog Tarifnog broja je pravno lice i preduzetnik na koga glasi odobrenje - rešenje nadležnog Odeljenja gradske uprave za korišćenje reklamnih panoa.</w:t>
      </w:r>
      <w:r w:rsidRPr="009C564E">
        <w:rPr>
          <w:rFonts w:ascii="Arial" w:eastAsia="Times New Roman" w:hAnsi="Arial" w:cs="Arial"/>
          <w:lang w:eastAsia="sr-Latn-RS"/>
        </w:rPr>
        <w:br/>
        <w:t>3. Odeljenje iz tačke 2 ove Napomene je dužno da jedan primerak odobrenja - rešenja, po donošenju, dostavi Odeljenju za finansije sa sledećim podacima:</w:t>
      </w:r>
      <w:r w:rsidRPr="009C564E">
        <w:rPr>
          <w:rFonts w:ascii="Arial" w:eastAsia="Times New Roman" w:hAnsi="Arial" w:cs="Arial"/>
          <w:lang w:eastAsia="sr-Latn-RS"/>
        </w:rPr>
        <w:br/>
        <w:t>- za pravna lica PIB, matični broj pravnog i adresu sedišta pravnog lica</w:t>
      </w:r>
      <w:r w:rsidRPr="009C564E">
        <w:rPr>
          <w:rFonts w:ascii="Arial" w:eastAsia="Times New Roman" w:hAnsi="Arial" w:cs="Arial"/>
          <w:lang w:eastAsia="sr-Latn-RS"/>
        </w:rPr>
        <w:br/>
        <w:t>- za preduzetnike PIB i naziv radnje sa adresom.</w:t>
      </w:r>
      <w:r w:rsidRPr="009C564E">
        <w:rPr>
          <w:rFonts w:ascii="Arial" w:eastAsia="Times New Roman" w:hAnsi="Arial" w:cs="Arial"/>
          <w:lang w:eastAsia="sr-Latn-RS"/>
        </w:rPr>
        <w:br/>
        <w:t>4. Rešenje o utvrđivanju i naplati takse po ovom tarifnom broju donosi Odeljenje za finansije, u skladu sa Zakonom o poreskom postupku i poreskoj administraciji.</w:t>
      </w:r>
      <w:r w:rsidRPr="009C564E">
        <w:rPr>
          <w:rFonts w:ascii="Arial" w:eastAsia="Times New Roman" w:hAnsi="Arial" w:cs="Arial"/>
          <w:lang w:eastAsia="sr-Latn-RS"/>
        </w:rPr>
        <w:br/>
        <w:t>5. Obveznici taksu plaćaju mesečno u roku od 15 dana po isteku svakog meseca, na račun br. 840-714431843-12.</w:t>
      </w:r>
      <w:r w:rsidRPr="009C564E">
        <w:rPr>
          <w:rFonts w:ascii="Arial" w:eastAsia="Times New Roman" w:hAnsi="Arial" w:cs="Arial"/>
          <w:lang w:eastAsia="sr-Latn-RS"/>
        </w:rPr>
        <w:br/>
        <w:t>6. Taksenom obvezniku koji na teritoriji grada ima veći broj reklamnih panoa, maksimalno zaduženje ne može biti veće od najvećeg iznosa predviđenog Zakonom o finansiranju lokalne samouprave.</w:t>
      </w:r>
      <w:r w:rsidRPr="009C564E">
        <w:rPr>
          <w:rFonts w:ascii="Arial" w:eastAsia="Times New Roman" w:hAnsi="Arial" w:cs="Arial"/>
          <w:lang w:eastAsia="sr-Latn-RS"/>
        </w:rPr>
        <w:br/>
        <w:t>7. Pravna lica koja su prema zakonu kojim se uređuje računovodstvo razvrstana u velika, srednja i mala pravna lica, u smislu zakona kojim se uređuje računovodstvo i preduzetnici, a koji obavljaju delatnosti: bankarstva, osiguranja imovine i lica, proizvodnje i trgovine naftom i derivatima nafte, proizvodnje i trgovine na veliko duvanskim proizvodima, proizvodnje cementa, poštanskih, mobilnih i telefonskih usluga, elektroprivrede, kazina, kockarnica, kladionica, bingo sala i pružanja kockarskih usluga i noćnih barova i diskoteka, plaćaju taksu navedenu u tački 1 ovog Tarifnog broja, u dvostrukom iznosu od utvrđenog, a taksu navedenu u tački 3, u četvorostrukom iznosu od utvrđenog.</w:t>
      </w:r>
      <w:r w:rsidRPr="009C564E">
        <w:rPr>
          <w:rFonts w:ascii="Arial" w:eastAsia="Times New Roman" w:hAnsi="Arial" w:cs="Arial"/>
          <w:lang w:eastAsia="sr-Latn-RS"/>
        </w:rPr>
        <w:br/>
        <w:t xml:space="preserve">8. Pravna lica koja su prema Zakonu kojim se uređuje računovodstvo razvrstana u velika plaćaju taksu iz tačke 3. ovog Tarifnog broja uvećanu za 50%. </w:t>
      </w:r>
    </w:p>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3" w:name="str_4"/>
      <w:bookmarkEnd w:id="13"/>
      <w:r w:rsidRPr="009C564E">
        <w:rPr>
          <w:rFonts w:ascii="Arial" w:eastAsia="Times New Roman" w:hAnsi="Arial" w:cs="Arial"/>
          <w:b/>
          <w:bCs/>
          <w:sz w:val="24"/>
          <w:szCs w:val="24"/>
          <w:lang w:eastAsia="sr-Latn-RS"/>
        </w:rPr>
        <w:t xml:space="preserve">Tarifni broj 3.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b/>
          <w:bCs/>
          <w:lang w:eastAsia="sr-Latn-RS"/>
        </w:rPr>
        <w:t>Lokalna komunalna taksa za držanje motornih drumskih i priključnih vozila,</w:t>
      </w:r>
      <w:r w:rsidRPr="009C564E">
        <w:rPr>
          <w:rFonts w:ascii="Arial" w:eastAsia="Times New Roman" w:hAnsi="Arial" w:cs="Arial"/>
          <w:lang w:eastAsia="sr-Latn-RS"/>
        </w:rPr>
        <w:t xml:space="preserve"> osim poljoprivrednih vozila i mašina plaća se taksa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215"/>
        <w:gridCol w:w="917"/>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dinara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1. Za teretna vozila: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1.1. do 2 t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1.2. od 2 t do 5 t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2.180,00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1.3. od 5 t do 12 t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3.820,00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1.4. preko 12 t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5.450,00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1.5. teretne i radne prikolice (za putničke automobile)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2. Za putnička vozila: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2.1. do 1.150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2.2. preko 1.150 cm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do 1.300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1.090,00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2.3. preko 1.300 cm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do 1.600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1.630,00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2.4. preko 1.600 cm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do 2.000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2.180,00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2.5. preko 2.000 cm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do 3.000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3.290,00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2.6. preko 3.000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5.450,00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3. Za motocikle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3.1. do 125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3.2. preko 125 cm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do 250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650,00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3.3. preko 250 cm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do 500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1.090,00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3.4. preko 500 cm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do 1.200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1.320,00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3.5. preko 1.200 cm</w:t>
            </w:r>
            <w:r w:rsidRPr="009C564E">
              <w:rPr>
                <w:rFonts w:ascii="Arial" w:eastAsia="Times New Roman" w:hAnsi="Arial" w:cs="Arial"/>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1.630,00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4. Za autobuse i kombi buseve 50,00 din. po registrovanom sedištu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5. Za priključna vozila: teretne prikolice, poluprikolice i specijalne teretne prikolice za prevoz određenih vrsta tereta: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5.1. do 1 t nosivosti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5.2. od 1 t do 5 t nosivosti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760,00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5.3. od 5 t do 10 t nosivosti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5.4. od 10 t do 12 t nosivosti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1.420,00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5.5. nosivosti preko 12 t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2.180,00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6. Za vučna vozila (tegljače) čija je snaga motora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6.1. do 66 kilovata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1.630,00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6.2. od 66 kilovata - 96 kilovata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2.180,00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6.3. od 96 kilovata do 132 kilovata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2.740,00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6.4. od 132 kilovata do 177 kilovata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3.290,00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6.5. preko 177 kilovata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4.380,00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7. Za radna vozila, specijalna adaptirana vozila za prevoz rekvizita za putujuće zabave, radnje i atestirana specijalna vozila za prevoz pčela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1.090,00 </w:t>
            </w:r>
          </w:p>
        </w:tc>
      </w:tr>
    </w:tbl>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4" w:name="str_5"/>
      <w:bookmarkEnd w:id="14"/>
      <w:r w:rsidRPr="009C564E">
        <w:rPr>
          <w:rFonts w:ascii="Arial" w:eastAsia="Times New Roman" w:hAnsi="Arial" w:cs="Arial"/>
          <w:b/>
          <w:bCs/>
          <w:sz w:val="24"/>
          <w:szCs w:val="24"/>
          <w:lang w:eastAsia="sr-Latn-RS"/>
        </w:rPr>
        <w:t xml:space="preserve">Tarifni broj 4.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Korišćenje prostora na javnim površinama ili ispred poslovnih prostorija u poslovne svrhe, osim radi prodaje štampe, knjiga i drugih publikacija, proizvoda starih i umetničkih zanata i domaće radinosti: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Za korišćenje prostora na javnim površinama ili ispred poslovnih prostorija u poslovne svrhe, </w:t>
      </w:r>
      <w:r w:rsidRPr="009C564E">
        <w:rPr>
          <w:rFonts w:ascii="Arial" w:eastAsia="Times New Roman" w:hAnsi="Arial" w:cs="Arial"/>
          <w:b/>
          <w:bCs/>
          <w:lang w:eastAsia="sr-Latn-RS"/>
        </w:rPr>
        <w:t>plaća se taksa dnevno po 1 m</w:t>
      </w:r>
      <w:r w:rsidRPr="009C564E">
        <w:rPr>
          <w:rFonts w:ascii="Arial" w:eastAsia="Times New Roman" w:hAnsi="Arial" w:cs="Arial"/>
          <w:sz w:val="15"/>
          <w:szCs w:val="15"/>
          <w:vertAlign w:val="superscript"/>
          <w:lang w:eastAsia="sr-Latn-RS"/>
        </w:rPr>
        <w:t>2</w:t>
      </w:r>
      <w:r w:rsidRPr="009C564E">
        <w:rPr>
          <w:rFonts w:ascii="Arial" w:eastAsia="Times New Roman" w:hAnsi="Arial" w:cs="Arial"/>
          <w:lang w:eastAsia="sr-Latn-RS"/>
        </w:rPr>
        <w:t xml:space="preserve">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399"/>
        <w:gridCol w:w="733"/>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b/>
                <w:bCs/>
                <w:lang w:eastAsia="sr-Latn-RS"/>
              </w:rPr>
            </w:pPr>
            <w:r w:rsidRPr="009C564E">
              <w:rPr>
                <w:rFonts w:ascii="Arial" w:eastAsia="Times New Roman" w:hAnsi="Arial" w:cs="Arial"/>
                <w:b/>
                <w:bCs/>
                <w:lang w:eastAsia="sr-Latn-RS"/>
              </w:rPr>
              <w:t xml:space="preserve">dinara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1. Za kioske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a) do 10 m</w:t>
            </w:r>
            <w:r w:rsidRPr="009C564E">
              <w:rPr>
                <w:rFonts w:ascii="Arial" w:eastAsia="Times New Roman" w:hAnsi="Arial" w:cs="Arial"/>
                <w:b/>
                <w:bCs/>
                <w:sz w:val="15"/>
                <w:szCs w:val="15"/>
                <w:vertAlign w:val="superscript"/>
                <w:lang w:eastAsia="sr-Latn-RS"/>
              </w:rPr>
              <w:t>2</w:t>
            </w:r>
            <w:r w:rsidRPr="009C564E">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b) preko 10 m</w:t>
            </w:r>
            <w:r w:rsidRPr="009C564E">
              <w:rPr>
                <w:rFonts w:ascii="Arial" w:eastAsia="Times New Roman" w:hAnsi="Arial" w:cs="Arial"/>
                <w:b/>
                <w:bCs/>
                <w:sz w:val="15"/>
                <w:szCs w:val="15"/>
                <w:vertAlign w:val="superscript"/>
                <w:lang w:eastAsia="sr-Latn-RS"/>
              </w:rPr>
              <w:t>2</w:t>
            </w:r>
            <w:r w:rsidRPr="009C564E">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12,00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2. Za postavljanje letnjih i zimskih bašti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26,00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24,00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17,00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3. Za otvorene i pokretne tezge: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71,00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36,00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18,00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4. Za držanje uređaja za prodaju sladoleda, kremova i kokica: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46,00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42,00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38,00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31,00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24,00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12,00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5. Za držanje telefonskih aparata (govornica) i drugih aparata - automata (uređaja) plaća se taksa dnevno po jednom aparatu i to: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71,00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59,00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51,00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41,00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24,00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6. za postavljanje drugih objekata ili uređaja taksa se plaća u dnevnom iznosu i to: </w:t>
            </w:r>
          </w:p>
        </w:tc>
        <w:tc>
          <w:tcPr>
            <w:tcW w:w="0" w:type="auto"/>
            <w:tcBorders>
              <w:top w:val="outset" w:sz="6" w:space="0" w:color="auto"/>
              <w:left w:val="outset" w:sz="6" w:space="0" w:color="auto"/>
              <w:bottom w:val="outset" w:sz="6" w:space="0" w:color="auto"/>
              <w:right w:val="outset" w:sz="6" w:space="0" w:color="auto"/>
            </w:tcBorders>
            <w:vAlign w:val="bottom"/>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za privremeno zauzimanje javne površine do 7 dana</w:t>
            </w:r>
          </w:p>
        </w:tc>
        <w:tc>
          <w:tcPr>
            <w:tcW w:w="0" w:type="auto"/>
            <w:tcBorders>
              <w:top w:val="outset" w:sz="6" w:space="0" w:color="auto"/>
              <w:left w:val="outset" w:sz="6" w:space="0" w:color="auto"/>
              <w:bottom w:val="outset" w:sz="6" w:space="0" w:color="auto"/>
              <w:right w:val="outset" w:sz="6" w:space="0" w:color="auto"/>
            </w:tcBorders>
            <w:vAlign w:val="bottom"/>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118,00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za privremeno zauzimanje javne površine više od 7 dana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59,00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7. Za postavljanje sportskih balonskih hala, taksa se plaća u dnevnom iznosu i to: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0,05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8. Za nosače biciklova plaća se taksa dnevno i to: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9,00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7,00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3,00 </w:t>
            </w:r>
          </w:p>
        </w:tc>
      </w:tr>
    </w:tbl>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NAPOMENA: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1. Obveznik takse iz tačke 1, 2, 3, 4, 5, 6, 7 i 8. ovog Tarifnog broja je pravno lice, preduzetnik i fizičko lice na koga glasi odobrenje-rešenje nadležnog Odeljenja gradske uprave a za korišćenje prostora na javnim površinama ili ispred poslovnih prostorija u poslovne svrhe.</w:t>
      </w:r>
      <w:r w:rsidRPr="009C564E">
        <w:rPr>
          <w:rFonts w:ascii="Arial" w:eastAsia="Times New Roman" w:hAnsi="Arial" w:cs="Arial"/>
          <w:lang w:eastAsia="sr-Latn-RS"/>
        </w:rPr>
        <w:br/>
        <w:t>2. Odeljenje iz tačke 1. ove Napomene je dužno da jedan primerak odobrenja - rešenja odmah dostavi Odeljenju za finansije Gradske uprave Zrenjanin koja taksu zadužuje i obračunava sa sledećim podacima:</w:t>
      </w:r>
      <w:r w:rsidRPr="009C564E">
        <w:rPr>
          <w:rFonts w:ascii="Arial" w:eastAsia="Times New Roman" w:hAnsi="Arial" w:cs="Arial"/>
          <w:lang w:eastAsia="sr-Latn-RS"/>
        </w:rPr>
        <w:br/>
        <w:t>- za pravna lica: poreski identifikacioni broj, matični broj pravnog lica i tekući račun, adresa sedišta pravnog lica;</w:t>
      </w:r>
      <w:r w:rsidRPr="009C564E">
        <w:rPr>
          <w:rFonts w:ascii="Arial" w:eastAsia="Times New Roman" w:hAnsi="Arial" w:cs="Arial"/>
          <w:lang w:eastAsia="sr-Latn-RS"/>
        </w:rPr>
        <w:br/>
        <w:t>- za fizička lica i preduzetnike poreski identifikacioni broj, matični broj, tekući račun, broj lične karte i naziv radnje sa adresom;</w:t>
      </w:r>
      <w:r w:rsidRPr="009C564E">
        <w:rPr>
          <w:rFonts w:ascii="Arial" w:eastAsia="Times New Roman" w:hAnsi="Arial" w:cs="Arial"/>
          <w:lang w:eastAsia="sr-Latn-RS"/>
        </w:rPr>
        <w:br/>
        <w:t>- Taksa iz tačke 1, 2, 3, 4, 5, 6, 7 i 8. ovog Tarifnog broja plaća se mesečno u roku od 15 dana po isteku svakog meseca a na uplatni račun: 840-741531843-77.</w:t>
      </w:r>
      <w:r w:rsidRPr="009C564E">
        <w:rPr>
          <w:rFonts w:ascii="Arial" w:eastAsia="Times New Roman" w:hAnsi="Arial" w:cs="Arial"/>
          <w:lang w:eastAsia="sr-Latn-RS"/>
        </w:rPr>
        <w:br/>
        <w:t xml:space="preserve">3. Direktni i indirektni korisnici budžeta grada, organizatori manifestacija kada je pokrovitelj grad Zrenjanin plaćaju taksu po tačkama 1, 2, 3, 4, 5, 6, 7 i 8 ovog Tarifnog broja umanjenu za 90%. </w:t>
      </w:r>
      <w:r w:rsidRPr="009C564E">
        <w:rPr>
          <w:rFonts w:ascii="Arial" w:eastAsia="Times New Roman" w:hAnsi="Arial" w:cs="Arial"/>
          <w:lang w:eastAsia="sr-Latn-RS"/>
        </w:rPr>
        <w:br/>
        <w:t>4. Taksa iz tačke 2. ovog tarifnog broja umanjuje se za 70% za lica koja su izgradila letnje ili zimske bašte na građevinskom zemljištu po ranijim propisima, a za koje je prema ranijim propisima plaćena naknada troškova za uređenje građevinskog zemljišta i za koje su do 31. 12. 2013. godine plaćali naknadu za korišćenje građevinskog zemljišta, uz uslov da ovu komunalnu taksu plaćaju 12 meseci u godini.</w:t>
      </w:r>
      <w:r w:rsidRPr="009C564E">
        <w:rPr>
          <w:rFonts w:ascii="Arial" w:eastAsia="Times New Roman" w:hAnsi="Arial" w:cs="Arial"/>
          <w:lang w:eastAsia="sr-Latn-RS"/>
        </w:rPr>
        <w:br/>
        <w:t>5. Obveznik takse iz tačke 3. ovog Tarifnog broja plaća taksu u propisanom iznosu ukoliko na pokretnoj tezgi pored knjiga prodaje i druge predmete.</w:t>
      </w:r>
    </w:p>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5" w:name="str_6"/>
      <w:bookmarkEnd w:id="15"/>
      <w:r w:rsidRPr="009C564E">
        <w:rPr>
          <w:rFonts w:ascii="Arial" w:eastAsia="Times New Roman" w:hAnsi="Arial" w:cs="Arial"/>
          <w:b/>
          <w:bCs/>
          <w:sz w:val="24"/>
          <w:szCs w:val="24"/>
          <w:lang w:eastAsia="sr-Latn-RS"/>
        </w:rPr>
        <w:t xml:space="preserve">Tarifni broj 5. </w:t>
      </w:r>
    </w:p>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Držanje sredstava za igru ("zabavne igre"):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215"/>
        <w:gridCol w:w="917"/>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dinara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 Za držanje aparata za zabavne igre (zabavne igre na računaru, simulatori, fliperi, bilijar, pikado i sl.) plaća se </w:t>
            </w:r>
            <w:r w:rsidRPr="009C564E">
              <w:rPr>
                <w:rFonts w:ascii="Arial" w:eastAsia="Times New Roman" w:hAnsi="Arial" w:cs="Arial"/>
                <w:b/>
                <w:bCs/>
                <w:lang w:eastAsia="sr-Latn-RS"/>
              </w:rPr>
              <w:t>mesečna taksa po aparatu</w:t>
            </w: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3.523,00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3.230,00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2.936,00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III i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2.349,00 </w:t>
            </w:r>
          </w:p>
        </w:tc>
      </w:tr>
    </w:tbl>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NAPOMENA: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1. Taksu po ovom Tarifnom broju plaća korisnik prostora u kome se drže, priređuju zabavne igre.</w:t>
      </w:r>
      <w:r w:rsidRPr="009C564E">
        <w:rPr>
          <w:rFonts w:ascii="Arial" w:eastAsia="Times New Roman" w:hAnsi="Arial" w:cs="Arial"/>
          <w:lang w:eastAsia="sr-Latn-RS"/>
        </w:rPr>
        <w:br/>
        <w:t>2. Taksu godišnje zadužuje i obračunava Odeljenje za finansije Gradske uprave Zrenjanin.</w:t>
      </w:r>
      <w:r w:rsidRPr="009C564E">
        <w:rPr>
          <w:rFonts w:ascii="Arial" w:eastAsia="Times New Roman" w:hAnsi="Arial" w:cs="Arial"/>
          <w:lang w:eastAsia="sr-Latn-RS"/>
        </w:rPr>
        <w:br/>
        <w:t>3. Taksa se plaća mesečno u roku od 15 dana po isteku svakog meseca.</w:t>
      </w:r>
      <w:r w:rsidRPr="009C564E">
        <w:rPr>
          <w:rFonts w:ascii="Arial" w:eastAsia="Times New Roman" w:hAnsi="Arial" w:cs="Arial"/>
          <w:lang w:eastAsia="sr-Latn-RS"/>
        </w:rPr>
        <w:br/>
        <w:t>4. Taksa se uplaćuje na račun: 840-714572843-29.</w:t>
      </w:r>
      <w:r w:rsidRPr="009C564E">
        <w:rPr>
          <w:rFonts w:ascii="Arial" w:eastAsia="Times New Roman" w:hAnsi="Arial" w:cs="Arial"/>
          <w:lang w:eastAsia="sr-Latn-RS"/>
        </w:rPr>
        <w:br/>
        <w:t xml:space="preserve">5. Prijava za utvrđivanje komunalne takse za držanje sredstava za igru ("Zabavne igre") podnosi se na obrascu "PKT" koji je sastavni deo ove Odluke. </w:t>
      </w:r>
    </w:p>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6" w:name="str_7"/>
      <w:bookmarkEnd w:id="16"/>
      <w:r w:rsidRPr="009C564E">
        <w:rPr>
          <w:rFonts w:ascii="Arial" w:eastAsia="Times New Roman" w:hAnsi="Arial" w:cs="Arial"/>
          <w:b/>
          <w:bCs/>
          <w:sz w:val="24"/>
          <w:szCs w:val="24"/>
          <w:lang w:eastAsia="sr-Latn-RS"/>
        </w:rPr>
        <w:t xml:space="preserve">Tarifni broj 6. </w:t>
      </w:r>
    </w:p>
    <w:p w:rsidR="009C564E" w:rsidRPr="009C564E" w:rsidRDefault="009C564E" w:rsidP="009C564E">
      <w:pPr>
        <w:spacing w:before="100" w:beforeAutospacing="1" w:after="100" w:afterAutospacing="1" w:line="240" w:lineRule="auto"/>
        <w:jc w:val="center"/>
        <w:rPr>
          <w:rFonts w:ascii="Arial" w:eastAsia="Times New Roman" w:hAnsi="Arial" w:cs="Arial"/>
          <w:i/>
          <w:iCs/>
          <w:lang w:eastAsia="sr-Latn-RS"/>
        </w:rPr>
      </w:pPr>
      <w:r w:rsidRPr="009C564E">
        <w:rPr>
          <w:rFonts w:ascii="Arial" w:eastAsia="Times New Roman" w:hAnsi="Arial" w:cs="Arial"/>
          <w:i/>
          <w:iCs/>
          <w:lang w:eastAsia="sr-Latn-RS"/>
        </w:rPr>
        <w:t>(Brisan)</w:t>
      </w:r>
    </w:p>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7" w:name="str_8"/>
      <w:bookmarkEnd w:id="17"/>
      <w:r w:rsidRPr="009C564E">
        <w:rPr>
          <w:rFonts w:ascii="Arial" w:eastAsia="Times New Roman" w:hAnsi="Arial" w:cs="Arial"/>
          <w:b/>
          <w:bCs/>
          <w:sz w:val="24"/>
          <w:szCs w:val="24"/>
          <w:lang w:eastAsia="sr-Latn-RS"/>
        </w:rPr>
        <w:t xml:space="preserve">Tarifni broj 7.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b/>
          <w:bCs/>
          <w:lang w:eastAsia="sr-Latn-RS"/>
        </w:rPr>
        <w:t xml:space="preserve">Korišćenje slobodnih površina za kampove, postavljanje šatora ili druge objekte privremenog korišćenja: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411"/>
        <w:gridCol w:w="721"/>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dinara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1. Za korišćenje slobodnih površina za postavljanje šatora za kampovanje, plaća se taksa </w:t>
            </w:r>
            <w:r w:rsidRPr="009C564E">
              <w:rPr>
                <w:rFonts w:ascii="Arial" w:eastAsia="Times New Roman" w:hAnsi="Arial" w:cs="Arial"/>
                <w:b/>
                <w:bCs/>
                <w:lang w:eastAsia="sr-Latn-RS"/>
              </w:rPr>
              <w:t>za svaki m</w:t>
            </w:r>
            <w:r w:rsidRPr="009C564E">
              <w:rPr>
                <w:rFonts w:ascii="Arial" w:eastAsia="Times New Roman" w:hAnsi="Arial" w:cs="Arial"/>
                <w:sz w:val="15"/>
                <w:szCs w:val="15"/>
                <w:vertAlign w:val="superscript"/>
                <w:lang w:eastAsia="sr-Latn-RS"/>
              </w:rPr>
              <w:t>2</w:t>
            </w:r>
            <w:r w:rsidRPr="009C564E">
              <w:rPr>
                <w:rFonts w:ascii="Arial" w:eastAsia="Times New Roman" w:hAnsi="Arial" w:cs="Arial"/>
                <w:b/>
                <w:bCs/>
                <w:lang w:eastAsia="sr-Latn-RS"/>
              </w:rPr>
              <w:t xml:space="preserve"> dnevno:</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u naseljenom mestu Zrenjanin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u ostalim naseljenim mestima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12,00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2. Za postavljanje šatora cirkusa, zabavnih parkova i šatora za izvođenje zabavnih i promotivnih programa taksa se plaća </w:t>
            </w:r>
            <w:r w:rsidRPr="009C564E">
              <w:rPr>
                <w:rFonts w:ascii="Arial" w:eastAsia="Times New Roman" w:hAnsi="Arial" w:cs="Arial"/>
                <w:b/>
                <w:bCs/>
                <w:lang w:eastAsia="sr-Latn-RS"/>
              </w:rPr>
              <w:t>dnevno</w:t>
            </w:r>
            <w:r w:rsidRPr="009C564E">
              <w:rPr>
                <w:rFonts w:ascii="Arial" w:eastAsia="Times New Roman" w:hAnsi="Arial" w:cs="Arial"/>
                <w:lang w:eastAsia="sr-Latn-RS"/>
              </w:rPr>
              <w:t xml:space="preserve"> </w:t>
            </w:r>
            <w:r w:rsidRPr="009C564E">
              <w:rPr>
                <w:rFonts w:ascii="Arial" w:eastAsia="Times New Roman" w:hAnsi="Arial" w:cs="Arial"/>
                <w:b/>
                <w:bCs/>
                <w:lang w:eastAsia="sr-Latn-RS"/>
              </w:rPr>
              <w:t>za svaki m</w:t>
            </w:r>
            <w:r w:rsidRPr="009C564E">
              <w:rPr>
                <w:rFonts w:ascii="Arial" w:eastAsia="Times New Roman" w:hAnsi="Arial" w:cs="Arial"/>
                <w:sz w:val="15"/>
                <w:szCs w:val="15"/>
                <w:vertAlign w:val="superscript"/>
                <w:lang w:eastAsia="sr-Latn-RS"/>
              </w:rPr>
              <w:t>2</w:t>
            </w:r>
            <w:r w:rsidRPr="009C564E">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60,00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47,00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35,00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18,00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12,00 </w:t>
            </w:r>
          </w:p>
        </w:tc>
      </w:tr>
    </w:tbl>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NAPOMENA: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1. Taksu iz ovog Tarifnog broja plaćaju pravna lica, preduzetnici i fizička lica unapred prilikom izdavanja odobrenja za korišćenje javnih površina.</w:t>
      </w:r>
      <w:r w:rsidRPr="009C564E">
        <w:rPr>
          <w:rFonts w:ascii="Arial" w:eastAsia="Times New Roman" w:hAnsi="Arial" w:cs="Arial"/>
          <w:lang w:eastAsia="sr-Latn-RS"/>
        </w:rPr>
        <w:br/>
        <w:t>2. Taksa se plaća na račun naznačen u odobrenju nadležnog organa.</w:t>
      </w:r>
      <w:r w:rsidRPr="009C564E">
        <w:rPr>
          <w:rFonts w:ascii="Arial" w:eastAsia="Times New Roman" w:hAnsi="Arial" w:cs="Arial"/>
          <w:lang w:eastAsia="sr-Latn-RS"/>
        </w:rPr>
        <w:br/>
        <w:t>3. Članovi ferijalnog, planinarskog smučarskog, izviđačkog i auto-moto saveza plaćaju taksu iz ovog Tarifnog broja umanjenu za 50%.</w:t>
      </w:r>
      <w:r w:rsidRPr="009C564E">
        <w:rPr>
          <w:rFonts w:ascii="Arial" w:eastAsia="Times New Roman" w:hAnsi="Arial" w:cs="Arial"/>
          <w:lang w:eastAsia="sr-Latn-RS"/>
        </w:rPr>
        <w:br/>
        <w:t xml:space="preserve">4. Direktni i indirektni korisnici budžeta grada, organizatori manifestacija kada je pokrovitelj grad Zrenjanin plaćaju taksu umanjenu za 90%. </w:t>
      </w:r>
    </w:p>
    <w:p w:rsidR="009C564E" w:rsidRPr="009C564E" w:rsidRDefault="009C564E" w:rsidP="009C564E">
      <w:pPr>
        <w:spacing w:before="240" w:after="240" w:line="240" w:lineRule="auto"/>
        <w:jc w:val="center"/>
        <w:rPr>
          <w:rFonts w:ascii="Arial" w:eastAsia="Times New Roman" w:hAnsi="Arial" w:cs="Arial"/>
          <w:b/>
          <w:bCs/>
          <w:sz w:val="24"/>
          <w:szCs w:val="24"/>
          <w:lang w:eastAsia="sr-Latn-RS"/>
        </w:rPr>
      </w:pPr>
      <w:bookmarkStart w:id="18" w:name="str_9"/>
      <w:bookmarkEnd w:id="18"/>
      <w:r w:rsidRPr="009C564E">
        <w:rPr>
          <w:rFonts w:ascii="Arial" w:eastAsia="Times New Roman" w:hAnsi="Arial" w:cs="Arial"/>
          <w:b/>
          <w:bCs/>
          <w:sz w:val="24"/>
          <w:szCs w:val="24"/>
          <w:lang w:eastAsia="sr-Latn-RS"/>
        </w:rPr>
        <w:t xml:space="preserve">Tarifni broj 8.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b/>
          <w:bCs/>
          <w:lang w:eastAsia="sr-Latn-RS"/>
        </w:rPr>
        <w:t xml:space="preserve">Zauzeće javne površine građevinskim materijalom i za izvođenje građevinskih radova: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399"/>
        <w:gridCol w:w="733"/>
      </w:tblGrid>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center"/>
              <w:rPr>
                <w:rFonts w:ascii="Arial" w:eastAsia="Times New Roman" w:hAnsi="Arial" w:cs="Arial"/>
                <w:b/>
                <w:bCs/>
                <w:lang w:eastAsia="sr-Latn-RS"/>
              </w:rPr>
            </w:pPr>
            <w:r w:rsidRPr="009C564E">
              <w:rPr>
                <w:rFonts w:ascii="Arial" w:eastAsia="Times New Roman" w:hAnsi="Arial" w:cs="Arial"/>
                <w:b/>
                <w:bCs/>
                <w:lang w:eastAsia="sr-Latn-RS"/>
              </w:rPr>
              <w:t xml:space="preserve">dinara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Za korišćenje javnih površina za potrebe izvođenja građevinskih radova i za zauzimanje javnih površina građevinskim materijalom plaća se komunalna taksa i to: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1. Pri izgradnji zgrade, dnevno po 1 m</w:t>
            </w:r>
            <w:r w:rsidRPr="009C564E">
              <w:rPr>
                <w:rFonts w:ascii="Arial" w:eastAsia="Times New Roman" w:hAnsi="Arial" w:cs="Arial"/>
                <w:sz w:val="15"/>
                <w:szCs w:val="15"/>
                <w:vertAlign w:val="superscript"/>
                <w:lang w:eastAsia="sr-Latn-RS"/>
              </w:rPr>
              <w:t>2</w:t>
            </w:r>
            <w:r w:rsidRPr="009C564E">
              <w:rPr>
                <w:rFonts w:ascii="Arial" w:eastAsia="Times New Roman" w:hAnsi="Arial" w:cs="Arial"/>
                <w:lang w:eastAsia="sr-Latn-RS"/>
              </w:rPr>
              <w:t xml:space="preserve"> zauzete površine: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a) pri izgradnji zgrade po m</w:t>
            </w:r>
            <w:r w:rsidRPr="009C564E">
              <w:rPr>
                <w:rFonts w:ascii="Arial" w:eastAsia="Times New Roman" w:hAnsi="Arial" w:cs="Arial"/>
                <w:sz w:val="15"/>
                <w:szCs w:val="15"/>
                <w:vertAlign w:val="superscript"/>
                <w:lang w:eastAsia="sr-Latn-RS"/>
              </w:rPr>
              <w:t>2</w:t>
            </w:r>
            <w:r w:rsidRPr="009C564E">
              <w:rPr>
                <w:rFonts w:ascii="Arial" w:eastAsia="Times New Roman" w:hAnsi="Arial" w:cs="Arial"/>
                <w:lang w:eastAsia="sr-Latn-RS"/>
              </w:rPr>
              <w:t xml:space="preserve"> zauzete površine u trajanju od 90 dana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b) pri izgradnji zgrade po m</w:t>
            </w:r>
            <w:r w:rsidRPr="009C564E">
              <w:rPr>
                <w:rFonts w:ascii="Arial" w:eastAsia="Times New Roman" w:hAnsi="Arial" w:cs="Arial"/>
                <w:sz w:val="15"/>
                <w:szCs w:val="15"/>
                <w:vertAlign w:val="superscript"/>
                <w:lang w:eastAsia="sr-Latn-RS"/>
              </w:rPr>
              <w:t>2</w:t>
            </w:r>
            <w:r w:rsidRPr="009C564E">
              <w:rPr>
                <w:rFonts w:ascii="Arial" w:eastAsia="Times New Roman" w:hAnsi="Arial" w:cs="Arial"/>
                <w:lang w:eastAsia="sr-Latn-RS"/>
              </w:rPr>
              <w:t xml:space="preserve"> zauzete površine u trajanju dužem od 90 dana dnevno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2. Pri izvođenju radova koji iziskuju raskopavanje kolovoza, trotoara odn. zelene površine za raskopavanje širine od 1 m plaća se taksa po 1 m dužnom odn. za iskopavanja koja su šira od 1 m, plaća se po 1 m</w:t>
            </w:r>
            <w:r w:rsidRPr="009C564E">
              <w:rPr>
                <w:rFonts w:ascii="Arial" w:eastAsia="Times New Roman" w:hAnsi="Arial" w:cs="Arial"/>
                <w:sz w:val="15"/>
                <w:szCs w:val="15"/>
                <w:vertAlign w:val="superscript"/>
                <w:lang w:eastAsia="sr-Latn-RS"/>
              </w:rPr>
              <w:t>2</w:t>
            </w:r>
            <w:r w:rsidRPr="009C564E">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za period od 1. marta do 31. oktobra dnevno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za period od 1. novembra do kraja februara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125,00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3. Za zauzimanje javnih površina građevinskim materijalom, dnevno po 1 m</w:t>
            </w:r>
            <w:r w:rsidRPr="009C564E">
              <w:rPr>
                <w:rFonts w:ascii="Arial" w:eastAsia="Times New Roman" w:hAnsi="Arial" w:cs="Arial"/>
                <w:sz w:val="15"/>
                <w:szCs w:val="15"/>
                <w:vertAlign w:val="superscript"/>
                <w:lang w:eastAsia="sr-Latn-RS"/>
              </w:rPr>
              <w:t>3</w:t>
            </w:r>
            <w:r w:rsidRPr="009C564E">
              <w:rPr>
                <w:rFonts w:ascii="Arial" w:eastAsia="Times New Roman" w:hAnsi="Arial" w:cs="Arial"/>
                <w:lang w:eastAsia="sr-Latn-RS"/>
              </w:rPr>
              <w:t xml:space="preserve"> zauzete javne površine: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BID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20,00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16,00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15,00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13,00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10,00 </w:t>
            </w:r>
          </w:p>
        </w:tc>
      </w:tr>
      <w:tr w:rsidR="009C564E" w:rsidRPr="009C564E" w:rsidTr="009C56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C564E" w:rsidRPr="009C564E" w:rsidRDefault="009C564E" w:rsidP="009C564E">
            <w:pPr>
              <w:spacing w:before="100" w:beforeAutospacing="1" w:after="100" w:afterAutospacing="1" w:line="240" w:lineRule="auto"/>
              <w:jc w:val="right"/>
              <w:rPr>
                <w:rFonts w:ascii="Arial" w:eastAsia="Times New Roman" w:hAnsi="Arial" w:cs="Arial"/>
                <w:lang w:eastAsia="sr-Latn-RS"/>
              </w:rPr>
            </w:pPr>
            <w:r w:rsidRPr="009C564E">
              <w:rPr>
                <w:rFonts w:ascii="Arial" w:eastAsia="Times New Roman" w:hAnsi="Arial" w:cs="Arial"/>
                <w:lang w:eastAsia="sr-Latn-RS"/>
              </w:rPr>
              <w:t xml:space="preserve">8,00 </w:t>
            </w:r>
          </w:p>
        </w:tc>
      </w:tr>
    </w:tbl>
    <w:p w:rsidR="009C564E" w:rsidRPr="009C564E" w:rsidRDefault="009C564E" w:rsidP="009C564E">
      <w:pPr>
        <w:spacing w:before="100" w:beforeAutospacing="1" w:after="100" w:afterAutospacing="1" w:line="240" w:lineRule="auto"/>
        <w:rPr>
          <w:rFonts w:ascii="Arial" w:eastAsia="Times New Roman" w:hAnsi="Arial" w:cs="Arial"/>
          <w:b/>
          <w:bCs/>
          <w:lang w:eastAsia="sr-Latn-RS"/>
        </w:rPr>
      </w:pPr>
      <w:r w:rsidRPr="009C564E">
        <w:rPr>
          <w:rFonts w:ascii="Arial" w:eastAsia="Times New Roman" w:hAnsi="Arial" w:cs="Arial"/>
          <w:b/>
          <w:bCs/>
          <w:lang w:eastAsia="sr-Latn-RS"/>
        </w:rPr>
        <w:t xml:space="preserve">NAPOMENA: </w:t>
      </w:r>
    </w:p>
    <w:p w:rsidR="009C564E" w:rsidRPr="009C564E" w:rsidRDefault="009C564E" w:rsidP="009C564E">
      <w:pPr>
        <w:spacing w:before="100" w:beforeAutospacing="1" w:after="100" w:afterAutospacing="1" w:line="240" w:lineRule="auto"/>
        <w:rPr>
          <w:rFonts w:ascii="Arial" w:eastAsia="Times New Roman" w:hAnsi="Arial" w:cs="Arial"/>
          <w:lang w:eastAsia="sr-Latn-RS"/>
        </w:rPr>
      </w:pPr>
      <w:r w:rsidRPr="009C564E">
        <w:rPr>
          <w:rFonts w:ascii="Arial" w:eastAsia="Times New Roman" w:hAnsi="Arial" w:cs="Arial"/>
          <w:lang w:eastAsia="sr-Latn-RS"/>
        </w:rPr>
        <w:t>1. Taksu iz ovog Tarifnog broja plaća investitor od dana zauzimanja javne površine do dana kad je javna površina dovedena u prvobitno stanje i plaća se unapred prilikom dobijanja odobrenja za zauzimanje javne površine.</w:t>
      </w:r>
      <w:r w:rsidRPr="009C564E">
        <w:rPr>
          <w:rFonts w:ascii="Arial" w:eastAsia="Times New Roman" w:hAnsi="Arial" w:cs="Arial"/>
          <w:lang w:eastAsia="sr-Latn-RS"/>
        </w:rPr>
        <w:br/>
        <w:t>2. Taksa po ovom Tarifnom broj uplaćuje se na račun 840-741535843-08.</w:t>
      </w:r>
      <w:r w:rsidRPr="009C564E">
        <w:rPr>
          <w:rFonts w:ascii="Arial" w:eastAsia="Times New Roman" w:hAnsi="Arial" w:cs="Arial"/>
          <w:lang w:eastAsia="sr-Latn-RS"/>
        </w:rPr>
        <w:br/>
        <w:t>3. JKP i JP koja je osnovao grad, prilikom raskopavanja odnosno zauzimanja javne površine zbog rekonstrukcije kolovoza, trotoara ili druge saobraćajne površine ili dovođenje komunalnih objekata u funkciju plaćaju 10% od iznosa tarife.</w:t>
      </w:r>
      <w:r w:rsidRPr="009C564E">
        <w:rPr>
          <w:rFonts w:ascii="Arial" w:eastAsia="Times New Roman" w:hAnsi="Arial" w:cs="Arial"/>
          <w:lang w:eastAsia="sr-Latn-RS"/>
        </w:rPr>
        <w:br/>
        <w:t>4. Taksa ovog tarifnog broja iz tačke 1. u slučajevima zauzimanja javne površine radi postavljanja zaštitne ograde oko objekata koji su oštećeni ili skloni padu, a ograda se postavlja radi bezbednosti lica i imovine uvećava se za 300%.</w:t>
      </w:r>
    </w:p>
    <w:p w:rsidR="00037C67" w:rsidRDefault="00037C67">
      <w:bookmarkStart w:id="19" w:name="_GoBack"/>
      <w:bookmarkEnd w:id="19"/>
    </w:p>
    <w:sectPr w:rsidR="00037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4E"/>
    <w:rsid w:val="00037C67"/>
    <w:rsid w:val="009C56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Šerfeze</dc:creator>
  <cp:lastModifiedBy>Nikolina Šerfeze</cp:lastModifiedBy>
  <cp:revision>1</cp:revision>
  <dcterms:created xsi:type="dcterms:W3CDTF">2018-09-24T10:49:00Z</dcterms:created>
  <dcterms:modified xsi:type="dcterms:W3CDTF">2018-09-24T10:50:00Z</dcterms:modified>
</cp:coreProperties>
</file>