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462957" w:rsidRPr="00462957" w:rsidTr="00462957">
        <w:trPr>
          <w:trHeight w:val="32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462957" w:rsidRPr="00462957" w:rsidRDefault="00462957" w:rsidP="00462957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462957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ODLUKA</w:t>
            </w:r>
          </w:p>
          <w:p w:rsidR="00462957" w:rsidRPr="00462957" w:rsidRDefault="00462957" w:rsidP="0046295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462957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NAKNADI ZA ZAŠTITU I UNAPREĐIVANJE ŽIVOTNE SREDINE</w:t>
            </w:r>
          </w:p>
          <w:p w:rsidR="00462957" w:rsidRPr="00462957" w:rsidRDefault="00462957" w:rsidP="00462957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462957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Grada Zrenjanina", br. 1/2011, 23/2011, 5/2017 i 37/2017)</w:t>
            </w:r>
          </w:p>
        </w:tc>
      </w:tr>
      <w:tr w:rsidR="00462957" w:rsidRPr="00462957" w:rsidTr="00462957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462957" w:rsidRPr="00462957" w:rsidRDefault="00462957" w:rsidP="004629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</w:p>
        </w:tc>
      </w:tr>
    </w:tbl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Ovom odlukom uvodi se naknada za zaštitu i unapređivanje životne sredine (u daljem tekstu: naknada ) i utvrđuju obveznici, visina, rokovi, način naplate, olakšice za određene kategorije obveznika i upotreba sredstava od naknade a radi ostvarivanja materijalnih uslova za ostvarivanje prava i dužnosti grada Zrenjanina (u daljem tekstu: grad) u oblasti zaštite i unapređivanja životne sredine.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Sredstva od naknade obezbeđena u skladu sa ovom Odlukom prihod su budžeta grada i koriste se za finansiranje budžetskog fonda za zaštitu životne sredine.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Obveznici naknade su: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1. Vlasnici, zakupci i korisnici poslovnih zgrada, odnosno poslovnih prostorija, ukupne površine preko 25m</w:t>
      </w:r>
      <w:r w:rsidRPr="00462957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462957">
        <w:rPr>
          <w:rFonts w:ascii="Arial" w:eastAsia="Times New Roman" w:hAnsi="Arial" w:cs="Arial"/>
          <w:lang w:eastAsia="sr-Latn-RS"/>
        </w:rPr>
        <w:t>, koje služe za obavljanje poslovne delatnosti na teritoriji Grada, u visini od 2,00 dinara/m</w:t>
      </w:r>
      <w:r w:rsidRPr="00462957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462957">
        <w:rPr>
          <w:rFonts w:ascii="Arial" w:eastAsia="Times New Roman" w:hAnsi="Arial" w:cs="Arial"/>
          <w:lang w:eastAsia="sr-Latn-RS"/>
        </w:rPr>
        <w:t xml:space="preserve"> poslovnog prostora mesečno.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2. Privredni subjekti (pravna lica i preduzetnici) koji na teritoriji Grada obavljaju određene aktivnosti čije obavljanje utiče na životnu sredinu, definisane Uredbom o određivanju aktivnosti čije obavljanje utiče na životnu sredinu, u visini od 0,1% ostvarenog prihoda na godišnjem nivou.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Ostvareni prihod na godišnjem nivou, u smislu tačke 2. ovog člana, jeste iznos koji privredni subjekti ostvare od prodaje sirovina, poluproizvoda i proizvoda u zemlji i inostranstvu.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Ukoliko privredni subjekt obavlja aktivnosti na teritoriji više jedinica lokalnih samouprava, naknada se utvrđuje srazmerno ostvarenom prihodu na teritoriji jedinice lokalne samouprave na kojoj se aktivnosti obavljaju.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Lista aktivnosti koje utiču na životnu sredinu data je u Prilogu 1 i čini sastavni deo ove odluke.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Ako je jedno lice obveznik plaćanja naknade po više osnova, najviši iznos naknade koju taj obveznik plaća ne može biti veći od 0,4% od ostvarenog prihoda na godišnjem nivou.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lastRenderedPageBreak/>
        <w:t>Pravna lica i preduzetnici - obveznici iz čl. 3.ove odluke naknadu za zaštitu i unapređivanje životne sredine plaćaju po rešenju nadležnog Odeljenja Gradske uprave Grada Zrenjanina a na osnovu podnete prijave odnosno službene evidencije, u visini koja je utvrđena u članu 3. ove Odluke.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Dospele obaveze uplaćuju se na uplatni račun 840-714562843-56 sa naznakom: naknada za zaštitu i unapređivanje životne sredine.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Obaveza plaćanja naknade za sve obveznike nastaje 15.u mesecu za prethodni mesec.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Obveznici naknade iz člana 3. stav 1. tač. 1 i 2 dužni su da podnesu prijavu na propisanom obrascu nadležnom Odeljenju Gradske uprave grada Zrenjanina najkasnije do 30. juna u godini u kojoj se vrši utvrđivanje naknade, odnosno u roku od 30 dana od dana stupanja na snagu ove odluke.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Ako obveznik ne podnese prijavu iz stava 1. ovog člana, naknada će se utvrditi na osnovu podataka kojima raspolažu nadležno odeljenje Gradske uprave grada Zrenjanina i drugi državni organi.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Obveznik naknade je dužan da podnese prijavu nezavisno od toga da li u poreskom periodu ima obavezu plaćanja naknade.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Obveznik naknade je dužan da radi pravilnog obračunavanja i plaćanja naknade, vodi evidenciju koja obezbeđuje sprovođenje nadzora i kontrole.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Obveznik naknade dužan je da svaku nastalu promenu prijavi nadležnom odeljenju Gradske uprave grada Zrenjanina u roku od 15 (petnaest) dana od dana nastanka promene.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Grad, kao podsticajnu meru za razvoj privrednih aktivnosti, oslobađa plaćanja naknade subjekte koji započnu sa privrednim aktivnostima, za godinu u kojoj su registrovali privredni subjekt, kao i za vreme trajanja privremene odjave.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Naknada utvrđena u članu 3. stav 1. tačka 1. umanjuje se za 50% obveznicima iz člana 3. stav 1. tačka 2. ove odluke - obveznici zaduženi po prihodu.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Naknada utvrđena u članu 3. stav 1. tačka 1. umanjuje se za 95% obveznicima koji su vlasnici, zakupci ili korisnici poslovnog prostora čije se poslovanje finansira u potpunosti ili delimično iz budžeta Grada.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10"/>
      <w:bookmarkEnd w:id="9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Sredstva naknade koriste se namenski za finansiranje poslova zaštite i unapređivanja životne sredine na osnovu utvrđenog Programa korišćenja sredstava budžetskog fonda za zaštitu životne sredine.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lastRenderedPageBreak/>
        <w:t>Sredstava iz stava 1. ovog člana koriste se za: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1. Sufinansiranje projekata i projekata zaštite životne sredine ili investicija koje doprinose bitnom smanjenju zagađivanja životne sredine (u okolini industrijskih i drugih zagađivača, na kontaminiranom području u slučaju akcidenata i sl.);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2. Sufinansiranje naučno-istraživačkih i edukativnih programa i projekata, izdavanje, publikovanje radova i informativno-propagandnog materijala u cilju sticanja znanja i podizanja svesti o značaju zaštite i unapređivanja životne sredine;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3. Za realizaciju podsticajnih, preventivnih i sanacionih programa i projekata (očuvanje i unapređenje zelenila u funkciji zaštite životne sredine, izrada katastra zelenila na teritoriji grada Zrenjanina, stvaranje preduslova za izradu lokalnog akcionog plana zaštite od buke u životnoj sredini, mere zaštite životne sredine u vanrednim situacijama, druge podsticajne, preventivne i sanacione programe i projekte za čijom se realizacijom ukaže potreba);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4. Realizacija programa i projekta praćenja stanja životne sredine (monitoring) na teritoriji grada Zrenjanina (praćenje kvaliteta vazduha, praćenje i prognoza aeropolena, praćenje nivoa komunalne buke, praćenje kvaliteta vode javnih kupališta);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5. Realizacija programa zaštite i razvoja zaštićenih prirodnih dobara na teritoriji grada Zrenjanina;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6. Sprovođenje naučnoistraživačkih programa i projekata u cilju jačanja svesti o potrebi zaštite životne sredine;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7. Sprovođenje obrazovnih aktivnosti i jačanje svesti o potrebi zaštite životne sredine (organizovanje i učestvovanje u predavanjima, seminarima, tribinama, skupovima, manifestacijama, akcijama iz oblasti zaštite životne sredine i obeležavanje značajnih datuma i događajima iz ove oblasti);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8. Informisanje i objavljivanje podataka o stanju i kvalitetu životne sredine a u cilju redovnog, blagovremenog, potpunog i objektivnog obaveštavanja javnosti o radu Odeljenja nadležnog za zaštitu životne sredine putem sredstava javnog informisanja, internet prezentacija, izradom publikacija i drugog štampanog materijala,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9. Finansiranje ostalih programa, projekata i mera u oblasti zaštite životne sredine i komunalne infrastrukture za koje odluku donosi Gradsko veće grada Zrenjanina.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Ukoliko u navedenim oblastima ne postoji program ili je isti iscrpljen, odluku o donošenju novog programa donosi Gradsko veće grada Zrenjanina.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Sredstva obezbeđena u skladu sa ovom Odlukom koristiće se na osnovu Lokalnog ekološkog akcionog plana i Godišnjeg programa Budžetskog fonda za zaštitu životne sredine.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1"/>
      <w:bookmarkEnd w:id="10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Godišnji program Budžetskog fonda za zaštitu životne sredine donosi Gradsko veće grada Zrenjanina, krajem tekuće ili početkom naredne godine, po prethodnoj saglasnosti Ministarstva životne sredine i prostornog planiranja Republike Srbije, u skladu sa zakonom.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2"/>
      <w:bookmarkEnd w:id="11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lastRenderedPageBreak/>
        <w:t>Za realizaciju programa i projekata Gradonačelnik ili lice koje on ovlasti, zaključuju ugovor sa korisnikom sredstava koji naročito sadrži: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sadržaj predloga, odnosno projekta,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međusobna prava i obaveze ugovornih strana,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iznos sredstava i način plaćanja,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rokove za izvršenje ugovornih obaveza,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nadzor nad izvršenjem ugovornih obaveza.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3"/>
      <w:bookmarkEnd w:id="12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Gradonačelnik jednom godišnje podnosi Gradskom veću izveštaj o realizaciji programa i usmeravanju sredstava za zaštitu i unapređivanje životne sredine.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4"/>
      <w:bookmarkEnd w:id="13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Stručne, tehničke i administrativne poslove i nadzor nad izvršavanjem ugovornih obaveza i realizaciju pojedinačnih programa i projekata vezanih za sprovođenje ove Odluke vrši Odeljenje za zaštitu životne sredine i Odeljenje za poslove finansija i računovodstva Gradske uprave grada Zrenjanina.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5"/>
      <w:bookmarkEnd w:id="14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15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U svemu što nije regulisano ovom Odlukom a odnosi se na utvrđivanje, naplatu, zastarelost, rokove za plaćanje, kamate i ostalo, shodno će se primenjivati odredbe Zakona o poreskom postupku i poreskoj administraciji, Zakona o porezu na dohodak građana i Zakona o porezu na dobit korporacija.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6"/>
      <w:bookmarkEnd w:id="15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16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Nadzor nad primenom ove Odluke vrše odeljenje Gradske uprave grada Zrenjanina nadležno za zaštitu životne sredine i odeljenje Gradske uprave grada Zrenjanina nadležno za poslove lokalne poreske administracije.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7"/>
      <w:bookmarkEnd w:id="16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Stupanjem na snagu ove Odluke prestaje da važi Odluka o naknadi za zaštitu i unapređivanje životne sredine ("Službeni list opštine Zrenjanin" br. 14/05 i 1/06 i "Službeni list grada Zrenjanina" br. 21/08 i 3/09).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8"/>
      <w:bookmarkEnd w:id="17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Ova Odluka stupa na snagu osmog dana od dana objavljivanja u "Službenom listu grada Zrenjanina".</w:t>
      </w:r>
    </w:p>
    <w:p w:rsidR="00462957" w:rsidRPr="00462957" w:rsidRDefault="00462957" w:rsidP="0046295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462957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462957" w:rsidRPr="00462957" w:rsidRDefault="00462957" w:rsidP="00462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4629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lastRenderedPageBreak/>
        <w:t>Samostalni član Odluke o izmenama</w:t>
      </w:r>
      <w:r w:rsidRPr="004629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Odluke o naknadi za zaštitu i unapređivanje životne sredine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("Sl. list Grada Zrenjanina", br. 23/2011)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Ova odluka stupa na snagu osmog dana od dana objavljivanja u "Službenom listu grada Zrenjanina", a primenjuje se počev od 01. januara 2012. godine.</w:t>
      </w:r>
    </w:p>
    <w:p w:rsidR="00462957" w:rsidRPr="00462957" w:rsidRDefault="00462957" w:rsidP="0046295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462957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462957" w:rsidRPr="00462957" w:rsidRDefault="00462957" w:rsidP="00462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4629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Samostalni član Odluke o izmenama i dopunama </w:t>
      </w:r>
      <w:r w:rsidRPr="004629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Odluke o naknadi za zaštitu i unapređivanje životne sredine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("Sl. list Grada Zrenjanina", br. 5/2017)</w:t>
      </w:r>
    </w:p>
    <w:p w:rsidR="00462957" w:rsidRPr="00462957" w:rsidRDefault="00462957" w:rsidP="004629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Ova Odluka stupa na snagu osmog dana od dana objavljivanja u "Službenom listu grada Zrenjanina".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 </w:t>
      </w:r>
    </w:p>
    <w:p w:rsidR="00462957" w:rsidRPr="00462957" w:rsidRDefault="00462957" w:rsidP="0046295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46295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462957" w:rsidRPr="00462957" w:rsidRDefault="00462957" w:rsidP="00462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8" w:name="str_1"/>
      <w:bookmarkEnd w:id="18"/>
      <w:r w:rsidRPr="00462957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Prilog 1</w:t>
      </w:r>
    </w:p>
    <w:p w:rsidR="00462957" w:rsidRPr="00462957" w:rsidRDefault="00462957" w:rsidP="00462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462957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LISTA AKTIVNOSTI KOJE UTIČU NA ŽIVOTNU SREDINU A KOJE SE OBAVLJAJU NA TERITORIJI GRADA ZRENJANINA</w:t>
      </w:r>
    </w:p>
    <w:p w:rsidR="00462957" w:rsidRPr="00462957" w:rsidRDefault="00462957" w:rsidP="004629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2"/>
      <w:bookmarkEnd w:id="19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I. Projekti za koje je obavezna procena uticaja na životnu sredinu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1. Kombinovana hemijska postrojenja, tj. Postrojenja za industrijsku proizvodnju supstanci kod kojih se primenjuju postupci hemijske promene i u kojima se pojedini pogoni nalaze jedan pored drugog i funkcionalno su povezani, namenjeni su za proizvodnju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osnovnih (baznih) proizvoda za zaštitu bilja, kao i biocida 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osnovnih (baznih) farmaceutskih proizvoda uz primenu hemijskih ili bioloških postupaka.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2. Eksploatacije podzemnih voda ili obogaćivanje podzemnih voda kod kojih je godišnja zapremina eksploatisane ili obogaćene vode jednaka količini od 10 miliona m</w:t>
      </w:r>
      <w:r w:rsidRPr="00462957">
        <w:rPr>
          <w:rFonts w:ascii="Arial" w:eastAsia="Times New Roman" w:hAnsi="Arial" w:cs="Arial"/>
          <w:i/>
          <w:iCs/>
          <w:sz w:val="15"/>
          <w:szCs w:val="15"/>
          <w:vertAlign w:val="superscript"/>
          <w:lang w:eastAsia="sr-Latn-RS"/>
        </w:rPr>
        <w:t>2</w:t>
      </w:r>
      <w:r w:rsidRPr="00462957">
        <w:rPr>
          <w:rFonts w:ascii="Arial" w:eastAsia="Times New Roman" w:hAnsi="Arial" w:cs="Arial"/>
          <w:i/>
          <w:iCs/>
          <w:lang w:eastAsia="sr-Latn-RS"/>
        </w:rPr>
        <w:t xml:space="preserve"> ili više.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3. Objekti za intenzivan uzgoj živine ili svinja sa kapacitetom preko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- 85.000 mesta za proizvodnju brojlera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- 40.000 mesta za živinu u uzgoju i eksploataciji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- 2.000 mesta za proizvodnju svinja (preko 30 kg težine)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- 750 mesta za krmače.</w:t>
      </w:r>
    </w:p>
    <w:p w:rsidR="00462957" w:rsidRPr="00462957" w:rsidRDefault="00462957" w:rsidP="004629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str_3"/>
      <w:bookmarkEnd w:id="20"/>
      <w:r w:rsidRPr="004629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II. Projekti za koje se može zahtevati procena uticaja na životnu sredinu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1. Poljoprivreda, akvakultura i šumarstvo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1) sistemi za odvodnjavanje i navodnjavanje - melioracioni sistemi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područje na kome se prostiru je veće od 20 ha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2) objekti za intenzivan uzgoj i držanje živine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od 30.000 do 85.000 mesta za brojlere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od 10.000 do 40.000 mesta za živinu (uključujući i lovnu perad)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3) objekti za intenzivan uzgoj goveda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200 mesta za goveda i više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4) objekti za intenzivan uzgoj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svinja kapaciteta od 1.000 do 2.000 mesta za svinje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krmača kapaciteta od 450 do 750 mesta za krmače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5) objekti za intenzivan uzgoj životinja sa plemenitim krznom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1.000 mesta za životinje sa plemenitim krznom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6) intenzivni uzgoj riba u bazenima i ribnjacima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za salmonide godišnje preko 10 t i više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za ciprinide površine 5 ha i veće.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2. Postrojenja i prerada metala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1) postrojenja za preradu sirovog gvožđa ili čelika (primarni ili sekundarno topljenje) uključujući kontinualni postupak livenja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 koja nisu navedeni pod 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2) postrojenja za preradu u crnoj metalurgiji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 koji nisu navedeni pod 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vruće valjaonice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kovačnice sa jednim ili više čekića ili maljeva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za nanošenje površinskih zaštitnih metalnih slojeva u rastopljenom stanju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3) livnice crne metalurgije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lastRenderedPageBreak/>
        <w:t>- svi projekti koji nisu navedeni pod 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4) postrojenja za površinsku obradu metala i plastičnih materijala korišćenjem elektrolitičkih ili hemijskih postupaka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 koji nisu navedeni pod 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5) brodogradilišta ( proizvodnja i/ili popravka brodskih trupova ili motora ili delova broda)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dužine broda 20 m ili više.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3. Industrijska prerada minerala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1) postrojenja za proizvodnju keramičkih proizvoda pečenjem (pločice, sanitarna galanterija, kućni pribor od keramike i porcelana i slično) kao i proizvodnja građevinskog materijala pečenjem (crep, cigla i slično)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40 t do 75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 xml:space="preserve">2) postrojenja za proizvodnju asfaltnih mešavina uključujući mobilna postrojenja 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50 t na sat.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4. Hemijska industrija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1) samostalna postrojenja za proizvodnju, preradu, formiranje i pakovanje baznih organskih i neorganskih hemikalija, veštačka đubriva na bazi fosfora. Azota i kalijuma (prosta i složena hemijska đubriva) proizvodi za zaštitu bilja kao i biocida, farmaceutskih i kozmetičkih proizvoda, plastičnih masa, eksploziva, boja i lakova, deterdženata i sredstava za održavanje higijene i čišćenje i dr.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 koji nisu navedeni pod I.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5. Prehrambena industrija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1) postrojenja za proizvodnju, tretman, preradu i obradu proizvoda iz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sirovina životinjskog porekla (osim mleka) kapaciteta od 10 t do 75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sirovina biljnog porekla kapaciteta od 30 t do 300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2) postrojenja za preradu, pakovanje i konzerviranje mesa, povrća i voća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10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3) postrojenja za proizvodnju hrane za životinje osim mešaone stočne hrane za sopstvene potrebe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5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4) postrojenja za obradu, tretman i preradu mleka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lastRenderedPageBreak/>
        <w:t>- kapaciteta od 5.000 litara do 20.000 litara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5) postrojenja za proizvodnju piva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3.000.000 litara godišnje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6) postrojenja za proizvodnju slada i kvasa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200 t godišnje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7) postrojenja za proizvodnju slatkiša ili sirupa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5.000 t godišnje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8) postrojenja za klanje životinja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od 3 t do 50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9) postrojenja za preradu ribe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1 t dnevno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10) postrojenja za proizvodnju i preradu skroba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100 t dnevno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11) postrojenja za proizvodnju i rafiniranje šećera i korišćenjem šećerne repe ili sirovog šećera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12) mlinovi i sušare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200 t dnevno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13) hladnjače (bez pogona za preradu sirovina)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preko 10 t rashladnog fluida u sistemu.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6. Industrija tekstila, kože, drveta i papira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1) postrojenja za predtretman vlakana, tkanina i papira (pranje, beljenje, mercerizacija, štampanje, hemijski tretman) ili bojenje vlakana ili tkanina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do 10 t na dan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2) postrojenja za štavljenje i obradu kože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kapaciteta do 12 t na dan.</w:t>
      </w:r>
    </w:p>
    <w:p w:rsidR="00462957" w:rsidRPr="00462957" w:rsidRDefault="00462957" w:rsidP="004629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462957">
        <w:rPr>
          <w:rFonts w:ascii="Arial" w:eastAsia="Times New Roman" w:hAnsi="Arial" w:cs="Arial"/>
          <w:i/>
          <w:iCs/>
          <w:lang w:eastAsia="sr-Latn-RS"/>
        </w:rPr>
        <w:t>7. Gumarska industrija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lastRenderedPageBreak/>
        <w:t>1) postrojenja za proizvodnju i preradu gume i kaučuka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2) postrojenja za vulkaniziranje prirodnog ili sintetičkog kaučuka uz korišćenje sumpora ili sumpornih jedinjenja</w:t>
      </w:r>
    </w:p>
    <w:p w:rsidR="00462957" w:rsidRPr="00462957" w:rsidRDefault="00462957" w:rsidP="00462957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462957">
        <w:rPr>
          <w:rFonts w:ascii="Arial" w:eastAsia="Times New Roman" w:hAnsi="Arial" w:cs="Arial"/>
          <w:lang w:eastAsia="sr-Latn-RS"/>
        </w:rPr>
        <w:t>- svi projekti.</w:t>
      </w:r>
    </w:p>
    <w:p w:rsidR="00037C67" w:rsidRDefault="00037C67">
      <w:bookmarkStart w:id="21" w:name="_GoBack"/>
      <w:bookmarkEnd w:id="21"/>
    </w:p>
    <w:sectPr w:rsidR="000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7"/>
    <w:rsid w:val="00037C67"/>
    <w:rsid w:val="004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Šerfeze</dc:creator>
  <cp:lastModifiedBy>Nikolina Šerfeze</cp:lastModifiedBy>
  <cp:revision>1</cp:revision>
  <dcterms:created xsi:type="dcterms:W3CDTF">2018-09-24T10:53:00Z</dcterms:created>
  <dcterms:modified xsi:type="dcterms:W3CDTF">2018-09-24T10:53:00Z</dcterms:modified>
</cp:coreProperties>
</file>